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D1" w:rsidRPr="00DA602C" w:rsidRDefault="00A42F61" w:rsidP="00D43C8A">
      <w:pPr>
        <w:contextualSpacing/>
        <w:rPr>
          <w:rFonts w:ascii="Times New Roman" w:hAnsi="Times New Roman" w:cs="Times New Roman"/>
          <w:b/>
          <w:sz w:val="40"/>
          <w:szCs w:val="40"/>
        </w:rPr>
      </w:pPr>
      <w:r w:rsidRPr="00DA602C">
        <w:rPr>
          <w:rFonts w:ascii="Times New Roman" w:hAnsi="Times New Roman" w:cs="Times New Roman"/>
          <w:b/>
          <w:sz w:val="40"/>
          <w:szCs w:val="40"/>
        </w:rPr>
        <w:t xml:space="preserve">Výběr změn v účetnictví od </w:t>
      </w:r>
      <w:proofErr w:type="gramStart"/>
      <w:r w:rsidRPr="00DA602C">
        <w:rPr>
          <w:rFonts w:ascii="Times New Roman" w:hAnsi="Times New Roman" w:cs="Times New Roman"/>
          <w:b/>
          <w:sz w:val="40"/>
          <w:szCs w:val="40"/>
        </w:rPr>
        <w:t>1.1.2014</w:t>
      </w:r>
      <w:proofErr w:type="gramEnd"/>
    </w:p>
    <w:p w:rsidR="00A42F61" w:rsidRPr="00DA602C" w:rsidRDefault="00DA602C" w:rsidP="00D43C8A">
      <w:pPr>
        <w:contextualSpacing/>
        <w:rPr>
          <w:rFonts w:ascii="Times New Roman" w:hAnsi="Times New Roman" w:cs="Times New Roman"/>
          <w:b/>
          <w:sz w:val="24"/>
          <w:szCs w:val="24"/>
        </w:rPr>
      </w:pPr>
      <w:r w:rsidRPr="00DA602C">
        <w:rPr>
          <w:rFonts w:ascii="Times New Roman" w:hAnsi="Times New Roman" w:cs="Times New Roman"/>
          <w:b/>
          <w:sz w:val="24"/>
          <w:szCs w:val="24"/>
        </w:rPr>
        <w:t>1. Změny právní předpisů</w:t>
      </w:r>
    </w:p>
    <w:p w:rsidR="00DA602C" w:rsidRPr="00DA602C" w:rsidRDefault="00DA602C" w:rsidP="00D43C8A">
      <w:pPr>
        <w:contextualSpacing/>
        <w:rPr>
          <w:rFonts w:ascii="Times New Roman" w:hAnsi="Times New Roman" w:cs="Times New Roman"/>
          <w:sz w:val="20"/>
          <w:szCs w:val="20"/>
        </w:rPr>
      </w:pPr>
      <w:r w:rsidRPr="00DA602C">
        <w:rPr>
          <w:rFonts w:ascii="Times New Roman" w:hAnsi="Times New Roman" w:cs="Times New Roman"/>
          <w:sz w:val="20"/>
          <w:szCs w:val="20"/>
        </w:rPr>
        <w:t xml:space="preserve">Od </w:t>
      </w:r>
      <w:proofErr w:type="gramStart"/>
      <w:r w:rsidRPr="00DA602C">
        <w:rPr>
          <w:rFonts w:ascii="Times New Roman" w:hAnsi="Times New Roman" w:cs="Times New Roman"/>
          <w:sz w:val="20"/>
          <w:szCs w:val="20"/>
        </w:rPr>
        <w:t>1.1.2014</w:t>
      </w:r>
      <w:proofErr w:type="gramEnd"/>
      <w:r w:rsidRPr="00DA602C">
        <w:rPr>
          <w:rFonts w:ascii="Times New Roman" w:hAnsi="Times New Roman" w:cs="Times New Roman"/>
          <w:sz w:val="20"/>
          <w:szCs w:val="20"/>
        </w:rPr>
        <w:t xml:space="preserve"> vstoupily platnost zejména tyto předpisy:</w:t>
      </w:r>
    </w:p>
    <w:p w:rsidR="00DA602C" w:rsidRDefault="00DA602C" w:rsidP="00D43C8A">
      <w:pPr>
        <w:pStyle w:val="Odstavecseseznamem"/>
        <w:numPr>
          <w:ilvl w:val="0"/>
          <w:numId w:val="1"/>
        </w:numPr>
        <w:rPr>
          <w:rFonts w:ascii="Times New Roman" w:hAnsi="Times New Roman" w:cs="Times New Roman"/>
          <w:sz w:val="20"/>
          <w:szCs w:val="20"/>
        </w:rPr>
      </w:pPr>
      <w:r w:rsidRPr="00DA602C">
        <w:rPr>
          <w:rFonts w:ascii="Times New Roman" w:hAnsi="Times New Roman" w:cs="Times New Roman"/>
          <w:sz w:val="20"/>
          <w:szCs w:val="20"/>
        </w:rPr>
        <w:t>vyhláška č. 410/2009 Sb., kterou se provádějí některá ustanovení zákona č. 563/1991 Sb., o účetnictví</w:t>
      </w:r>
      <w:r>
        <w:rPr>
          <w:rFonts w:ascii="Times New Roman" w:hAnsi="Times New Roman" w:cs="Times New Roman"/>
          <w:sz w:val="20"/>
          <w:szCs w:val="20"/>
        </w:rPr>
        <w:t>, ve znění pozdějších předpisů, pro některé vybrané účetní jednotky, byla novelizována:</w:t>
      </w:r>
    </w:p>
    <w:p w:rsidR="00DA602C" w:rsidRDefault="00DA602C" w:rsidP="00D43C8A">
      <w:pPr>
        <w:pStyle w:val="Odstavecseseznamem"/>
        <w:numPr>
          <w:ilvl w:val="0"/>
          <w:numId w:val="2"/>
        </w:numPr>
        <w:rPr>
          <w:rFonts w:ascii="Times New Roman" w:hAnsi="Times New Roman" w:cs="Times New Roman"/>
          <w:sz w:val="20"/>
          <w:szCs w:val="20"/>
        </w:rPr>
      </w:pPr>
      <w:r>
        <w:rPr>
          <w:rFonts w:ascii="Times New Roman" w:hAnsi="Times New Roman" w:cs="Times New Roman"/>
          <w:sz w:val="20"/>
          <w:szCs w:val="20"/>
        </w:rPr>
        <w:t xml:space="preserve">vyhláškou č. 473/2013 – účinnost od </w:t>
      </w:r>
      <w:proofErr w:type="gramStart"/>
      <w:r>
        <w:rPr>
          <w:rFonts w:ascii="Times New Roman" w:hAnsi="Times New Roman" w:cs="Times New Roman"/>
          <w:sz w:val="20"/>
          <w:szCs w:val="20"/>
        </w:rPr>
        <w:t>1.1.2014</w:t>
      </w:r>
      <w:proofErr w:type="gramEnd"/>
      <w:r>
        <w:rPr>
          <w:rFonts w:ascii="Times New Roman" w:hAnsi="Times New Roman" w:cs="Times New Roman"/>
          <w:sz w:val="20"/>
          <w:szCs w:val="20"/>
        </w:rPr>
        <w:t xml:space="preserve"> (některé části od 1.1.2015)</w:t>
      </w:r>
    </w:p>
    <w:p w:rsidR="00DA602C" w:rsidRDefault="00DA602C" w:rsidP="00D43C8A">
      <w:pPr>
        <w:pStyle w:val="Odstavecseseznamem"/>
        <w:numPr>
          <w:ilvl w:val="0"/>
          <w:numId w:val="1"/>
        </w:numPr>
        <w:rPr>
          <w:rFonts w:ascii="Times New Roman" w:hAnsi="Times New Roman" w:cs="Times New Roman"/>
          <w:sz w:val="20"/>
          <w:szCs w:val="20"/>
        </w:rPr>
      </w:pPr>
      <w:r>
        <w:rPr>
          <w:rFonts w:ascii="Times New Roman" w:hAnsi="Times New Roman" w:cs="Times New Roman"/>
          <w:sz w:val="20"/>
          <w:szCs w:val="20"/>
        </w:rPr>
        <w:t>vyhláška č. 383/2009 Sb., o účetních záznamech v technické formě vybraných účetních jednotek a jejich předávání do centrálního systému účetních informací státu a o požadavcích na technické a smíšené formy účetních záznamů, byla novelizována:</w:t>
      </w:r>
    </w:p>
    <w:p w:rsidR="00DA602C" w:rsidRDefault="00DA602C" w:rsidP="00D43C8A">
      <w:pPr>
        <w:pStyle w:val="Odstavecseseznamem"/>
        <w:numPr>
          <w:ilvl w:val="1"/>
          <w:numId w:val="1"/>
        </w:numPr>
        <w:rPr>
          <w:rFonts w:ascii="Times New Roman" w:hAnsi="Times New Roman" w:cs="Times New Roman"/>
          <w:sz w:val="20"/>
          <w:szCs w:val="20"/>
        </w:rPr>
      </w:pPr>
      <w:r>
        <w:rPr>
          <w:rFonts w:ascii="Times New Roman" w:hAnsi="Times New Roman" w:cs="Times New Roman"/>
          <w:sz w:val="20"/>
          <w:szCs w:val="20"/>
        </w:rPr>
        <w:t xml:space="preserve">vyhláškou č. 472/2013 Sb. – účinnost od </w:t>
      </w:r>
      <w:proofErr w:type="gramStart"/>
      <w:r>
        <w:rPr>
          <w:rFonts w:ascii="Times New Roman" w:hAnsi="Times New Roman" w:cs="Times New Roman"/>
          <w:sz w:val="20"/>
          <w:szCs w:val="20"/>
        </w:rPr>
        <w:t>1.1.2014</w:t>
      </w:r>
      <w:proofErr w:type="gramEnd"/>
    </w:p>
    <w:p w:rsidR="00DA602C" w:rsidRDefault="00DA602C" w:rsidP="00D43C8A">
      <w:pPr>
        <w:pStyle w:val="Odstavecseseznamem"/>
        <w:numPr>
          <w:ilvl w:val="0"/>
          <w:numId w:val="1"/>
        </w:numPr>
        <w:rPr>
          <w:rFonts w:ascii="Times New Roman" w:hAnsi="Times New Roman" w:cs="Times New Roman"/>
          <w:sz w:val="20"/>
          <w:szCs w:val="20"/>
        </w:rPr>
      </w:pPr>
      <w:r>
        <w:rPr>
          <w:rFonts w:ascii="Times New Roman" w:hAnsi="Times New Roman" w:cs="Times New Roman"/>
          <w:sz w:val="20"/>
          <w:szCs w:val="20"/>
        </w:rPr>
        <w:t>vyhláška č. 323/2002 Sb., o rozpočtové skladbě, ve znění pozdějších předpisů byla novelizována:</w:t>
      </w:r>
    </w:p>
    <w:p w:rsidR="00DA602C" w:rsidRDefault="00DA602C" w:rsidP="00D43C8A">
      <w:pPr>
        <w:pStyle w:val="Odstavecseseznamem"/>
        <w:numPr>
          <w:ilvl w:val="1"/>
          <w:numId w:val="1"/>
        </w:numPr>
        <w:rPr>
          <w:rFonts w:ascii="Times New Roman" w:hAnsi="Times New Roman" w:cs="Times New Roman"/>
          <w:sz w:val="20"/>
          <w:szCs w:val="20"/>
        </w:rPr>
      </w:pPr>
      <w:r>
        <w:rPr>
          <w:rFonts w:ascii="Times New Roman" w:hAnsi="Times New Roman" w:cs="Times New Roman"/>
          <w:sz w:val="20"/>
          <w:szCs w:val="20"/>
        </w:rPr>
        <w:t xml:space="preserve">vyhláškou č. 464/2013 – účinnost od </w:t>
      </w:r>
      <w:proofErr w:type="gramStart"/>
      <w:r>
        <w:rPr>
          <w:rFonts w:ascii="Times New Roman" w:hAnsi="Times New Roman" w:cs="Times New Roman"/>
          <w:sz w:val="20"/>
          <w:szCs w:val="20"/>
        </w:rPr>
        <w:t>1.1.2014</w:t>
      </w:r>
      <w:proofErr w:type="gramEnd"/>
    </w:p>
    <w:p w:rsidR="00DA602C" w:rsidRDefault="0026169C" w:rsidP="00D43C8A">
      <w:pPr>
        <w:pStyle w:val="Odstavecseseznamem"/>
        <w:numPr>
          <w:ilvl w:val="0"/>
          <w:numId w:val="4"/>
        </w:numPr>
        <w:rPr>
          <w:rFonts w:ascii="Times New Roman" w:hAnsi="Times New Roman" w:cs="Times New Roman"/>
          <w:sz w:val="20"/>
          <w:szCs w:val="20"/>
        </w:rPr>
      </w:pPr>
      <w:r>
        <w:rPr>
          <w:rFonts w:ascii="Times New Roman" w:hAnsi="Times New Roman" w:cs="Times New Roman"/>
          <w:sz w:val="20"/>
          <w:szCs w:val="20"/>
        </w:rPr>
        <w:t>České účetní standardy – byly novelizovány:</w:t>
      </w:r>
    </w:p>
    <w:p w:rsidR="0026169C" w:rsidRPr="00DA602C" w:rsidRDefault="0026169C" w:rsidP="00D43C8A">
      <w:pPr>
        <w:pStyle w:val="Odstavecseseznamem"/>
        <w:numPr>
          <w:ilvl w:val="1"/>
          <w:numId w:val="4"/>
        </w:numPr>
        <w:rPr>
          <w:rFonts w:ascii="Times New Roman" w:hAnsi="Times New Roman" w:cs="Times New Roman"/>
          <w:sz w:val="20"/>
          <w:szCs w:val="20"/>
        </w:rPr>
      </w:pPr>
      <w:r>
        <w:rPr>
          <w:rFonts w:ascii="Times New Roman" w:hAnsi="Times New Roman" w:cs="Times New Roman"/>
          <w:sz w:val="20"/>
          <w:szCs w:val="20"/>
        </w:rPr>
        <w:t>ČÚS pro některé vybrané účetní jednotky č. 701, 704, 705, 706, 707, 708, 709, 710</w:t>
      </w:r>
    </w:p>
    <w:p w:rsidR="00A42F61" w:rsidRDefault="0026169C" w:rsidP="00D43C8A">
      <w:pPr>
        <w:contextualSpacing/>
        <w:rPr>
          <w:rFonts w:ascii="Times New Roman" w:hAnsi="Times New Roman" w:cs="Times New Roman"/>
          <w:b/>
          <w:sz w:val="24"/>
          <w:szCs w:val="24"/>
        </w:rPr>
      </w:pPr>
      <w:r>
        <w:rPr>
          <w:rFonts w:ascii="Times New Roman" w:hAnsi="Times New Roman" w:cs="Times New Roman"/>
          <w:b/>
          <w:sz w:val="24"/>
          <w:szCs w:val="24"/>
        </w:rPr>
        <w:t>Novelizované právní předpisy jsou k dispozici na stránkách MF ČR.</w:t>
      </w:r>
    </w:p>
    <w:p w:rsidR="0026169C" w:rsidRDefault="0026169C" w:rsidP="00D43C8A">
      <w:pPr>
        <w:contextualSpacing/>
        <w:rPr>
          <w:rFonts w:ascii="Times New Roman" w:hAnsi="Times New Roman" w:cs="Times New Roman"/>
          <w:b/>
          <w:sz w:val="24"/>
          <w:szCs w:val="24"/>
        </w:rPr>
      </w:pPr>
    </w:p>
    <w:p w:rsidR="0026169C" w:rsidRDefault="0026169C" w:rsidP="00D43C8A">
      <w:pPr>
        <w:contextualSpacing/>
        <w:rPr>
          <w:rFonts w:ascii="Times New Roman" w:hAnsi="Times New Roman" w:cs="Times New Roman"/>
          <w:b/>
          <w:sz w:val="24"/>
          <w:szCs w:val="24"/>
        </w:rPr>
      </w:pPr>
      <w:r>
        <w:rPr>
          <w:rFonts w:ascii="Times New Roman" w:hAnsi="Times New Roman" w:cs="Times New Roman"/>
          <w:b/>
          <w:sz w:val="24"/>
          <w:szCs w:val="24"/>
        </w:rPr>
        <w:t xml:space="preserve">2. Nejdůležitější změny ve vyhlášce č. 410/2009 Sb. od </w:t>
      </w:r>
      <w:proofErr w:type="gramStart"/>
      <w:r>
        <w:rPr>
          <w:rFonts w:ascii="Times New Roman" w:hAnsi="Times New Roman" w:cs="Times New Roman"/>
          <w:b/>
          <w:sz w:val="24"/>
          <w:szCs w:val="24"/>
        </w:rPr>
        <w:t>1.1.2014</w:t>
      </w:r>
      <w:proofErr w:type="gramEnd"/>
    </w:p>
    <w:p w:rsidR="00D43C8A" w:rsidRDefault="00D43C8A" w:rsidP="00D43C8A">
      <w:pPr>
        <w:contextualSpacing/>
        <w:rPr>
          <w:rFonts w:ascii="Times New Roman" w:hAnsi="Times New Roman" w:cs="Times New Roman"/>
          <w:b/>
          <w:sz w:val="24"/>
          <w:szCs w:val="24"/>
        </w:rPr>
      </w:pPr>
    </w:p>
    <w:p w:rsidR="00334ED1" w:rsidRDefault="00334ED1" w:rsidP="00D43C8A">
      <w:pPr>
        <w:contextualSpacing/>
        <w:rPr>
          <w:rFonts w:ascii="Times New Roman" w:hAnsi="Times New Roman" w:cs="Times New Roman"/>
          <w:b/>
          <w:sz w:val="24"/>
          <w:szCs w:val="24"/>
        </w:rPr>
      </w:pPr>
      <w:r>
        <w:rPr>
          <w:rFonts w:ascii="Times New Roman" w:hAnsi="Times New Roman" w:cs="Times New Roman"/>
          <w:b/>
          <w:sz w:val="24"/>
          <w:szCs w:val="24"/>
        </w:rPr>
        <w:t>Upozornění – v následujícím textu se jedná o výběr nejdůležitějších změn. Text nenahrazuje novelizaci vyhlášky č. 410/2009 Sb.</w:t>
      </w:r>
    </w:p>
    <w:p w:rsidR="00334ED1" w:rsidRDefault="00334ED1" w:rsidP="00D43C8A">
      <w:pPr>
        <w:contextualSpacing/>
        <w:rPr>
          <w:rFonts w:ascii="Times New Roman" w:hAnsi="Times New Roman" w:cs="Times New Roman"/>
          <w:b/>
          <w:sz w:val="24"/>
          <w:szCs w:val="24"/>
        </w:rPr>
      </w:pPr>
    </w:p>
    <w:p w:rsidR="0026169C" w:rsidRDefault="0026169C" w:rsidP="00D43C8A">
      <w:pPr>
        <w:contextualSpacing/>
        <w:rPr>
          <w:rFonts w:ascii="Times New Roman" w:hAnsi="Times New Roman" w:cs="Times New Roman"/>
          <w:b/>
          <w:sz w:val="24"/>
          <w:szCs w:val="24"/>
        </w:rPr>
      </w:pPr>
      <w:r>
        <w:rPr>
          <w:rFonts w:ascii="Times New Roman" w:hAnsi="Times New Roman" w:cs="Times New Roman"/>
          <w:b/>
          <w:sz w:val="24"/>
          <w:szCs w:val="24"/>
        </w:rPr>
        <w:t>a) Nové účty</w:t>
      </w:r>
    </w:p>
    <w:p w:rsidR="0026169C" w:rsidRDefault="0026169C" w:rsidP="00D43C8A">
      <w:pPr>
        <w:contextualSpacing/>
        <w:rPr>
          <w:rFonts w:ascii="Times New Roman" w:hAnsi="Times New Roman" w:cs="Times New Roman"/>
          <w:sz w:val="20"/>
          <w:szCs w:val="20"/>
        </w:rPr>
      </w:pPr>
      <w:r>
        <w:rPr>
          <w:rFonts w:ascii="Times New Roman" w:hAnsi="Times New Roman" w:cs="Times New Roman"/>
          <w:b/>
          <w:sz w:val="20"/>
          <w:szCs w:val="20"/>
        </w:rPr>
        <w:t xml:space="preserve">035 – Dlouhodobý nehmotný majetek určený k prodeji – </w:t>
      </w:r>
      <w:r>
        <w:rPr>
          <w:rFonts w:ascii="Times New Roman" w:hAnsi="Times New Roman" w:cs="Times New Roman"/>
          <w:sz w:val="20"/>
          <w:szCs w:val="20"/>
        </w:rPr>
        <w:t xml:space="preserve">obsahuje dlouhodobý nehmotný majetek oceněný reálnou hodnotou podle </w:t>
      </w:r>
      <w:r w:rsidR="00ED513A">
        <w:rPr>
          <w:rFonts w:ascii="Times New Roman" w:hAnsi="Times New Roman" w:cs="Times New Roman"/>
          <w:sz w:val="20"/>
          <w:szCs w:val="20"/>
        </w:rPr>
        <w:t xml:space="preserve">§ 27 odst. 1 </w:t>
      </w:r>
      <w:proofErr w:type="spellStart"/>
      <w:proofErr w:type="gramStart"/>
      <w:r w:rsidR="00ED513A">
        <w:rPr>
          <w:rFonts w:ascii="Times New Roman" w:hAnsi="Times New Roman" w:cs="Times New Roman"/>
          <w:sz w:val="20"/>
          <w:szCs w:val="20"/>
        </w:rPr>
        <w:t>písm.h</w:t>
      </w:r>
      <w:proofErr w:type="spellEnd"/>
      <w:r w:rsidR="00ED513A">
        <w:rPr>
          <w:rFonts w:ascii="Times New Roman" w:hAnsi="Times New Roman" w:cs="Times New Roman"/>
          <w:sz w:val="20"/>
          <w:szCs w:val="20"/>
        </w:rPr>
        <w:t>) zákona</w:t>
      </w:r>
      <w:proofErr w:type="gramEnd"/>
    </w:p>
    <w:p w:rsidR="00ED513A" w:rsidRDefault="001932B9" w:rsidP="00D43C8A">
      <w:pPr>
        <w:contextualSpacing/>
        <w:rPr>
          <w:rFonts w:ascii="Times New Roman" w:hAnsi="Times New Roman" w:cs="Times New Roman"/>
          <w:sz w:val="20"/>
          <w:szCs w:val="20"/>
        </w:rPr>
      </w:pPr>
      <w:r>
        <w:rPr>
          <w:rFonts w:ascii="Times New Roman" w:hAnsi="Times New Roman" w:cs="Times New Roman"/>
          <w:b/>
          <w:sz w:val="20"/>
          <w:szCs w:val="20"/>
        </w:rPr>
        <w:t>036 – Dlouhodobý hmotný majetek určený k prodeji –</w:t>
      </w:r>
      <w:r>
        <w:rPr>
          <w:rFonts w:ascii="Times New Roman" w:hAnsi="Times New Roman" w:cs="Times New Roman"/>
          <w:sz w:val="20"/>
          <w:szCs w:val="20"/>
        </w:rPr>
        <w:t xml:space="preserve"> obsahuje dlouhodobý hmotný majetek oceněný reálnou hodnotou podle § 27 odst. 1 </w:t>
      </w:r>
      <w:proofErr w:type="spellStart"/>
      <w:proofErr w:type="gramStart"/>
      <w:r>
        <w:rPr>
          <w:rFonts w:ascii="Times New Roman" w:hAnsi="Times New Roman" w:cs="Times New Roman"/>
          <w:sz w:val="20"/>
          <w:szCs w:val="20"/>
        </w:rPr>
        <w:t>písm.h</w:t>
      </w:r>
      <w:proofErr w:type="spellEnd"/>
      <w:r>
        <w:rPr>
          <w:rFonts w:ascii="Times New Roman" w:hAnsi="Times New Roman" w:cs="Times New Roman"/>
          <w:sz w:val="20"/>
          <w:szCs w:val="20"/>
        </w:rPr>
        <w:t>) zákona</w:t>
      </w:r>
      <w:proofErr w:type="gramEnd"/>
    </w:p>
    <w:p w:rsidR="001932B9" w:rsidRDefault="001932B9" w:rsidP="00D43C8A">
      <w:pPr>
        <w:contextualSpacing/>
        <w:rPr>
          <w:rFonts w:ascii="Times New Roman" w:hAnsi="Times New Roman" w:cs="Times New Roman"/>
          <w:sz w:val="20"/>
          <w:szCs w:val="20"/>
        </w:rPr>
      </w:pPr>
      <w:r>
        <w:rPr>
          <w:rFonts w:ascii="Times New Roman" w:hAnsi="Times New Roman" w:cs="Times New Roman"/>
          <w:b/>
          <w:sz w:val="20"/>
          <w:szCs w:val="20"/>
        </w:rPr>
        <w:t xml:space="preserve">336 – Sociální zabezpečení – </w:t>
      </w:r>
      <w:r>
        <w:rPr>
          <w:rFonts w:ascii="Times New Roman" w:hAnsi="Times New Roman" w:cs="Times New Roman"/>
          <w:sz w:val="20"/>
          <w:szCs w:val="20"/>
        </w:rPr>
        <w:t>obsahuje částky závazků z titulu sociálního pojištění podle zákona upravujícího pojistné na sociální zabezpečení a příspěvek na státní politiku zaměstnanosti</w:t>
      </w:r>
    </w:p>
    <w:p w:rsidR="001932B9" w:rsidRDefault="001932B9" w:rsidP="00D43C8A">
      <w:pPr>
        <w:contextualSpacing/>
        <w:rPr>
          <w:rFonts w:ascii="Times New Roman" w:hAnsi="Times New Roman" w:cs="Times New Roman"/>
          <w:sz w:val="20"/>
          <w:szCs w:val="20"/>
        </w:rPr>
      </w:pPr>
      <w:r>
        <w:rPr>
          <w:rFonts w:ascii="Times New Roman" w:hAnsi="Times New Roman" w:cs="Times New Roman"/>
          <w:b/>
          <w:sz w:val="20"/>
          <w:szCs w:val="20"/>
        </w:rPr>
        <w:t xml:space="preserve">337 – Zdravotní pojištění – </w:t>
      </w:r>
      <w:r>
        <w:rPr>
          <w:rFonts w:ascii="Times New Roman" w:hAnsi="Times New Roman" w:cs="Times New Roman"/>
          <w:sz w:val="20"/>
          <w:szCs w:val="20"/>
        </w:rPr>
        <w:t xml:space="preserve">obsahuje částky závazků z titulu zdravotního pojištění </w:t>
      </w:r>
      <w:r w:rsidR="00D43C8A">
        <w:rPr>
          <w:rFonts w:ascii="Times New Roman" w:hAnsi="Times New Roman" w:cs="Times New Roman"/>
          <w:sz w:val="20"/>
          <w:szCs w:val="20"/>
        </w:rPr>
        <w:t>podle zákona upravujícího veřejné zdravotní pojištění</w:t>
      </w:r>
    </w:p>
    <w:p w:rsidR="00D43C8A" w:rsidRDefault="00D43C8A" w:rsidP="00D43C8A">
      <w:pPr>
        <w:contextualSpacing/>
        <w:rPr>
          <w:rFonts w:ascii="Times New Roman" w:hAnsi="Times New Roman" w:cs="Times New Roman"/>
          <w:sz w:val="20"/>
          <w:szCs w:val="20"/>
        </w:rPr>
      </w:pPr>
      <w:r>
        <w:rPr>
          <w:rFonts w:ascii="Times New Roman" w:hAnsi="Times New Roman" w:cs="Times New Roman"/>
          <w:b/>
          <w:sz w:val="20"/>
          <w:szCs w:val="20"/>
        </w:rPr>
        <w:t xml:space="preserve">338 – Důchodové spoření – </w:t>
      </w:r>
      <w:r>
        <w:rPr>
          <w:rFonts w:ascii="Times New Roman" w:hAnsi="Times New Roman" w:cs="Times New Roman"/>
          <w:sz w:val="20"/>
          <w:szCs w:val="20"/>
        </w:rPr>
        <w:t>obsahuje částky závazků z titulu důchodového spoření podle zákona upravujícího pojistné na důchodové spoření (II. pilíř)</w:t>
      </w:r>
    </w:p>
    <w:p w:rsidR="00D43C8A" w:rsidRDefault="00D43C8A" w:rsidP="00D43C8A">
      <w:pPr>
        <w:contextualSpacing/>
        <w:rPr>
          <w:rFonts w:ascii="Times New Roman" w:hAnsi="Times New Roman" w:cs="Times New Roman"/>
          <w:sz w:val="20"/>
          <w:szCs w:val="20"/>
        </w:rPr>
      </w:pPr>
    </w:p>
    <w:p w:rsidR="00D43C8A" w:rsidRDefault="00D43C8A" w:rsidP="00D43C8A">
      <w:pPr>
        <w:contextualSpacing/>
        <w:rPr>
          <w:rFonts w:ascii="Times New Roman" w:hAnsi="Times New Roman" w:cs="Times New Roman"/>
          <w:b/>
          <w:sz w:val="24"/>
          <w:szCs w:val="24"/>
        </w:rPr>
      </w:pPr>
      <w:r>
        <w:rPr>
          <w:rFonts w:ascii="Times New Roman" w:hAnsi="Times New Roman" w:cs="Times New Roman"/>
          <w:b/>
          <w:sz w:val="24"/>
          <w:szCs w:val="24"/>
        </w:rPr>
        <w:t>b) Přejmenované účty</w:t>
      </w:r>
    </w:p>
    <w:p w:rsidR="00D43C8A" w:rsidRDefault="00D43C8A" w:rsidP="00D43C8A">
      <w:pPr>
        <w:contextualSpacing/>
        <w:rPr>
          <w:rFonts w:ascii="Times New Roman" w:hAnsi="Times New Roman" w:cs="Times New Roman"/>
          <w:sz w:val="20"/>
          <w:szCs w:val="20"/>
        </w:rPr>
      </w:pPr>
      <w:r>
        <w:rPr>
          <w:rFonts w:ascii="Times New Roman" w:hAnsi="Times New Roman" w:cs="Times New Roman"/>
          <w:sz w:val="20"/>
          <w:szCs w:val="20"/>
        </w:rPr>
        <w:t xml:space="preserve">022 – Samostatné </w:t>
      </w:r>
      <w:r>
        <w:rPr>
          <w:rFonts w:ascii="Times New Roman" w:hAnsi="Times New Roman" w:cs="Times New Roman"/>
          <w:b/>
          <w:sz w:val="20"/>
          <w:szCs w:val="20"/>
        </w:rPr>
        <w:t xml:space="preserve">hmotné </w:t>
      </w:r>
      <w:r>
        <w:rPr>
          <w:rFonts w:ascii="Times New Roman" w:hAnsi="Times New Roman" w:cs="Times New Roman"/>
          <w:sz w:val="20"/>
          <w:szCs w:val="20"/>
        </w:rPr>
        <w:t xml:space="preserve">movité věci a soubory </w:t>
      </w:r>
      <w:r>
        <w:rPr>
          <w:rFonts w:ascii="Times New Roman" w:hAnsi="Times New Roman" w:cs="Times New Roman"/>
          <w:b/>
          <w:sz w:val="20"/>
          <w:szCs w:val="20"/>
        </w:rPr>
        <w:t xml:space="preserve">hmotných </w:t>
      </w:r>
      <w:r>
        <w:rPr>
          <w:rFonts w:ascii="Times New Roman" w:hAnsi="Times New Roman" w:cs="Times New Roman"/>
          <w:sz w:val="20"/>
          <w:szCs w:val="20"/>
        </w:rPr>
        <w:t>movitých věcí</w:t>
      </w:r>
    </w:p>
    <w:p w:rsidR="00D43C8A" w:rsidRDefault="00D43C8A" w:rsidP="00D43C8A">
      <w:pPr>
        <w:contextualSpacing/>
        <w:rPr>
          <w:rFonts w:ascii="Times New Roman" w:hAnsi="Times New Roman" w:cs="Times New Roman"/>
          <w:sz w:val="20"/>
          <w:szCs w:val="20"/>
        </w:rPr>
      </w:pPr>
      <w:r>
        <w:rPr>
          <w:rFonts w:ascii="Times New Roman" w:hAnsi="Times New Roman" w:cs="Times New Roman"/>
          <w:sz w:val="20"/>
          <w:szCs w:val="20"/>
        </w:rPr>
        <w:t xml:space="preserve">082 – Oprávky k samostatným </w:t>
      </w:r>
      <w:r>
        <w:rPr>
          <w:rFonts w:ascii="Times New Roman" w:hAnsi="Times New Roman" w:cs="Times New Roman"/>
          <w:b/>
          <w:sz w:val="20"/>
          <w:szCs w:val="20"/>
        </w:rPr>
        <w:t xml:space="preserve">hmotným </w:t>
      </w:r>
      <w:r>
        <w:rPr>
          <w:rFonts w:ascii="Times New Roman" w:hAnsi="Times New Roman" w:cs="Times New Roman"/>
          <w:sz w:val="20"/>
          <w:szCs w:val="20"/>
        </w:rPr>
        <w:t xml:space="preserve">movitým věcem a souborům </w:t>
      </w:r>
      <w:r>
        <w:rPr>
          <w:rFonts w:ascii="Times New Roman" w:hAnsi="Times New Roman" w:cs="Times New Roman"/>
          <w:b/>
          <w:sz w:val="20"/>
          <w:szCs w:val="20"/>
        </w:rPr>
        <w:t xml:space="preserve">hmotných </w:t>
      </w:r>
      <w:r>
        <w:rPr>
          <w:rFonts w:ascii="Times New Roman" w:hAnsi="Times New Roman" w:cs="Times New Roman"/>
          <w:sz w:val="20"/>
          <w:szCs w:val="20"/>
        </w:rPr>
        <w:t>movitých věcí</w:t>
      </w:r>
    </w:p>
    <w:p w:rsidR="00D43C8A" w:rsidRDefault="00D43C8A" w:rsidP="00D43C8A">
      <w:pPr>
        <w:contextualSpacing/>
        <w:rPr>
          <w:rFonts w:ascii="Times New Roman" w:hAnsi="Times New Roman" w:cs="Times New Roman"/>
          <w:sz w:val="20"/>
          <w:szCs w:val="20"/>
        </w:rPr>
      </w:pPr>
      <w:r>
        <w:rPr>
          <w:rFonts w:ascii="Times New Roman" w:hAnsi="Times New Roman" w:cs="Times New Roman"/>
          <w:sz w:val="20"/>
          <w:szCs w:val="20"/>
        </w:rPr>
        <w:t xml:space="preserve">164 – Opravné položky k samostatným </w:t>
      </w:r>
      <w:r>
        <w:rPr>
          <w:rFonts w:ascii="Times New Roman" w:hAnsi="Times New Roman" w:cs="Times New Roman"/>
          <w:b/>
          <w:sz w:val="20"/>
          <w:szCs w:val="20"/>
        </w:rPr>
        <w:t xml:space="preserve">hmotným </w:t>
      </w:r>
      <w:r>
        <w:rPr>
          <w:rFonts w:ascii="Times New Roman" w:hAnsi="Times New Roman" w:cs="Times New Roman"/>
          <w:sz w:val="20"/>
          <w:szCs w:val="20"/>
        </w:rPr>
        <w:t xml:space="preserve">movitým věcem a souborům </w:t>
      </w:r>
      <w:r>
        <w:rPr>
          <w:rFonts w:ascii="Times New Roman" w:hAnsi="Times New Roman" w:cs="Times New Roman"/>
          <w:b/>
          <w:sz w:val="20"/>
          <w:szCs w:val="20"/>
        </w:rPr>
        <w:t xml:space="preserve">hmotných </w:t>
      </w:r>
      <w:r>
        <w:rPr>
          <w:rFonts w:ascii="Times New Roman" w:hAnsi="Times New Roman" w:cs="Times New Roman"/>
          <w:sz w:val="20"/>
          <w:szCs w:val="20"/>
        </w:rPr>
        <w:t>movitých věcí</w:t>
      </w:r>
    </w:p>
    <w:p w:rsidR="00D43C8A" w:rsidRDefault="00D43C8A" w:rsidP="00D43C8A">
      <w:pPr>
        <w:contextualSpacing/>
        <w:rPr>
          <w:rFonts w:ascii="Times New Roman" w:hAnsi="Times New Roman" w:cs="Times New Roman"/>
          <w:sz w:val="20"/>
          <w:szCs w:val="20"/>
        </w:rPr>
      </w:pPr>
      <w:r>
        <w:rPr>
          <w:rFonts w:ascii="Times New Roman" w:hAnsi="Times New Roman" w:cs="Times New Roman"/>
          <w:sz w:val="20"/>
          <w:szCs w:val="20"/>
        </w:rPr>
        <w:t xml:space="preserve">196 </w:t>
      </w:r>
      <w:r w:rsidR="004A4852">
        <w:rPr>
          <w:rFonts w:ascii="Times New Roman" w:hAnsi="Times New Roman" w:cs="Times New Roman"/>
          <w:sz w:val="20"/>
          <w:szCs w:val="20"/>
        </w:rPr>
        <w:t>–</w:t>
      </w:r>
      <w:r>
        <w:rPr>
          <w:rFonts w:ascii="Times New Roman" w:hAnsi="Times New Roman" w:cs="Times New Roman"/>
          <w:sz w:val="20"/>
          <w:szCs w:val="20"/>
        </w:rPr>
        <w:t xml:space="preserve"> </w:t>
      </w:r>
      <w:r w:rsidR="004A4852">
        <w:rPr>
          <w:rFonts w:ascii="Times New Roman" w:hAnsi="Times New Roman" w:cs="Times New Roman"/>
          <w:sz w:val="20"/>
          <w:szCs w:val="20"/>
        </w:rPr>
        <w:t xml:space="preserve">Opravné položky k pohledávkám </w:t>
      </w:r>
      <w:r w:rsidR="004A4852">
        <w:rPr>
          <w:rFonts w:ascii="Times New Roman" w:hAnsi="Times New Roman" w:cs="Times New Roman"/>
          <w:strike/>
          <w:sz w:val="20"/>
          <w:szCs w:val="20"/>
        </w:rPr>
        <w:t>z titulu daní a obdobných dávek</w:t>
      </w:r>
      <w:r w:rsidR="004A4852">
        <w:rPr>
          <w:rFonts w:ascii="Times New Roman" w:hAnsi="Times New Roman" w:cs="Times New Roman"/>
          <w:sz w:val="20"/>
          <w:szCs w:val="20"/>
        </w:rPr>
        <w:t xml:space="preserve"> ze správy daní</w:t>
      </w:r>
    </w:p>
    <w:p w:rsidR="004A4852" w:rsidRDefault="004A4852" w:rsidP="00D43C8A">
      <w:pPr>
        <w:contextualSpacing/>
        <w:rPr>
          <w:rFonts w:ascii="Times New Roman" w:hAnsi="Times New Roman" w:cs="Times New Roman"/>
          <w:sz w:val="20"/>
          <w:szCs w:val="20"/>
        </w:rPr>
      </w:pPr>
      <w:r>
        <w:rPr>
          <w:rFonts w:ascii="Times New Roman" w:hAnsi="Times New Roman" w:cs="Times New Roman"/>
          <w:sz w:val="20"/>
          <w:szCs w:val="20"/>
        </w:rPr>
        <w:t xml:space="preserve">319 – Pohledávky </w:t>
      </w:r>
      <w:r>
        <w:rPr>
          <w:rFonts w:ascii="Times New Roman" w:hAnsi="Times New Roman" w:cs="Times New Roman"/>
          <w:strike/>
          <w:sz w:val="20"/>
          <w:szCs w:val="20"/>
        </w:rPr>
        <w:t xml:space="preserve">ze sdílených </w:t>
      </w:r>
      <w:r>
        <w:rPr>
          <w:rFonts w:ascii="Times New Roman" w:hAnsi="Times New Roman" w:cs="Times New Roman"/>
          <w:sz w:val="20"/>
          <w:szCs w:val="20"/>
        </w:rPr>
        <w:t>z přerozdělovaných daní</w:t>
      </w:r>
    </w:p>
    <w:p w:rsidR="004A4852" w:rsidRDefault="004A4852" w:rsidP="00D43C8A">
      <w:pPr>
        <w:contextualSpacing/>
        <w:rPr>
          <w:rFonts w:ascii="Times New Roman" w:hAnsi="Times New Roman" w:cs="Times New Roman"/>
          <w:sz w:val="20"/>
          <w:szCs w:val="20"/>
        </w:rPr>
      </w:pPr>
      <w:r>
        <w:rPr>
          <w:rFonts w:ascii="Times New Roman" w:hAnsi="Times New Roman" w:cs="Times New Roman"/>
          <w:sz w:val="20"/>
          <w:szCs w:val="20"/>
        </w:rPr>
        <w:t>325 – Závazky z dělené správy</w:t>
      </w:r>
      <w:r>
        <w:rPr>
          <w:rFonts w:ascii="Times New Roman" w:hAnsi="Times New Roman" w:cs="Times New Roman"/>
          <w:strike/>
          <w:sz w:val="20"/>
          <w:szCs w:val="20"/>
        </w:rPr>
        <w:t xml:space="preserve"> a kaucí</w:t>
      </w:r>
    </w:p>
    <w:p w:rsidR="004A4852" w:rsidRDefault="004A4852" w:rsidP="00D43C8A">
      <w:pPr>
        <w:contextualSpacing/>
        <w:rPr>
          <w:rFonts w:ascii="Times New Roman" w:hAnsi="Times New Roman" w:cs="Times New Roman"/>
          <w:sz w:val="20"/>
          <w:szCs w:val="20"/>
        </w:rPr>
      </w:pPr>
      <w:r>
        <w:rPr>
          <w:rFonts w:ascii="Times New Roman" w:hAnsi="Times New Roman" w:cs="Times New Roman"/>
          <w:sz w:val="20"/>
          <w:szCs w:val="20"/>
        </w:rPr>
        <w:t xml:space="preserve">432 – Výsledek hospodaření </w:t>
      </w:r>
      <w:r>
        <w:rPr>
          <w:rFonts w:ascii="Times New Roman" w:hAnsi="Times New Roman" w:cs="Times New Roman"/>
          <w:strike/>
          <w:sz w:val="20"/>
          <w:szCs w:val="20"/>
        </w:rPr>
        <w:t>minulých</w:t>
      </w:r>
      <w:r>
        <w:rPr>
          <w:rFonts w:ascii="Times New Roman" w:hAnsi="Times New Roman" w:cs="Times New Roman"/>
          <w:sz w:val="20"/>
          <w:szCs w:val="20"/>
        </w:rPr>
        <w:t xml:space="preserve"> předcházejících účetních období</w:t>
      </w:r>
    </w:p>
    <w:p w:rsidR="004A4852" w:rsidRDefault="004A4852" w:rsidP="00D43C8A">
      <w:pPr>
        <w:contextualSpacing/>
        <w:rPr>
          <w:rFonts w:ascii="Times New Roman" w:hAnsi="Times New Roman" w:cs="Times New Roman"/>
          <w:b/>
          <w:sz w:val="20"/>
          <w:szCs w:val="20"/>
        </w:rPr>
      </w:pPr>
      <w:r>
        <w:rPr>
          <w:rFonts w:ascii="Times New Roman" w:hAnsi="Times New Roman" w:cs="Times New Roman"/>
          <w:sz w:val="20"/>
          <w:szCs w:val="20"/>
        </w:rPr>
        <w:t xml:space="preserve">543 – Dary </w:t>
      </w:r>
      <w:r>
        <w:rPr>
          <w:rFonts w:ascii="Times New Roman" w:hAnsi="Times New Roman" w:cs="Times New Roman"/>
          <w:b/>
          <w:sz w:val="20"/>
          <w:szCs w:val="20"/>
        </w:rPr>
        <w:t>a jiná bezúplatná předání</w:t>
      </w:r>
    </w:p>
    <w:p w:rsidR="004A4852" w:rsidRDefault="004A4852" w:rsidP="00D43C8A">
      <w:pPr>
        <w:contextualSpacing/>
        <w:rPr>
          <w:rFonts w:ascii="Times New Roman" w:hAnsi="Times New Roman" w:cs="Times New Roman"/>
          <w:b/>
          <w:sz w:val="20"/>
          <w:szCs w:val="20"/>
        </w:rPr>
      </w:pPr>
    </w:p>
    <w:p w:rsidR="004A4852" w:rsidRDefault="00C97DA2" w:rsidP="00D43C8A">
      <w:pPr>
        <w:contextualSpacing/>
        <w:rPr>
          <w:rFonts w:ascii="Times New Roman" w:hAnsi="Times New Roman" w:cs="Times New Roman"/>
          <w:b/>
          <w:sz w:val="24"/>
          <w:szCs w:val="24"/>
        </w:rPr>
      </w:pPr>
      <w:r>
        <w:rPr>
          <w:rFonts w:ascii="Times New Roman" w:hAnsi="Times New Roman" w:cs="Times New Roman"/>
          <w:b/>
          <w:sz w:val="24"/>
          <w:szCs w:val="24"/>
        </w:rPr>
        <w:t>c) Zrušené účty</w:t>
      </w:r>
    </w:p>
    <w:p w:rsidR="00C97DA2" w:rsidRDefault="00C97DA2" w:rsidP="00D43C8A">
      <w:pPr>
        <w:contextualSpacing/>
        <w:rPr>
          <w:rFonts w:ascii="Times New Roman" w:hAnsi="Times New Roman" w:cs="Times New Roman"/>
          <w:sz w:val="20"/>
          <w:szCs w:val="20"/>
        </w:rPr>
      </w:pPr>
      <w:r>
        <w:rPr>
          <w:rFonts w:ascii="Times New Roman" w:hAnsi="Times New Roman" w:cs="Times New Roman"/>
          <w:sz w:val="20"/>
          <w:szCs w:val="20"/>
        </w:rPr>
        <w:t>197 – Opravné položky k pohledávkám za účastníky sdružení</w:t>
      </w:r>
    </w:p>
    <w:p w:rsidR="00C97DA2" w:rsidRDefault="00C97DA2" w:rsidP="00D43C8A">
      <w:pPr>
        <w:contextualSpacing/>
        <w:rPr>
          <w:rFonts w:ascii="Times New Roman" w:hAnsi="Times New Roman" w:cs="Times New Roman"/>
          <w:sz w:val="20"/>
          <w:szCs w:val="20"/>
        </w:rPr>
      </w:pPr>
      <w:r>
        <w:rPr>
          <w:rFonts w:ascii="Times New Roman" w:hAnsi="Times New Roman" w:cs="Times New Roman"/>
          <w:sz w:val="20"/>
          <w:szCs w:val="20"/>
        </w:rPr>
        <w:t>318 – Pohledávky z titulu daní a obdobných dávek</w:t>
      </w:r>
    </w:p>
    <w:p w:rsidR="00C97DA2" w:rsidRDefault="00C97DA2" w:rsidP="00D43C8A">
      <w:pPr>
        <w:contextualSpacing/>
        <w:rPr>
          <w:rFonts w:ascii="Times New Roman" w:hAnsi="Times New Roman" w:cs="Times New Roman"/>
          <w:sz w:val="20"/>
          <w:szCs w:val="20"/>
        </w:rPr>
      </w:pPr>
      <w:r>
        <w:rPr>
          <w:rFonts w:ascii="Times New Roman" w:hAnsi="Times New Roman" w:cs="Times New Roman"/>
          <w:sz w:val="20"/>
          <w:szCs w:val="20"/>
        </w:rPr>
        <w:t>327 – Přijaté zálohy daní</w:t>
      </w:r>
    </w:p>
    <w:p w:rsidR="00C97DA2" w:rsidRDefault="00C97DA2" w:rsidP="00D43C8A">
      <w:pPr>
        <w:contextualSpacing/>
        <w:rPr>
          <w:rFonts w:ascii="Times New Roman" w:hAnsi="Times New Roman" w:cs="Times New Roman"/>
          <w:sz w:val="20"/>
          <w:szCs w:val="20"/>
        </w:rPr>
      </w:pPr>
      <w:r>
        <w:rPr>
          <w:rFonts w:ascii="Times New Roman" w:hAnsi="Times New Roman" w:cs="Times New Roman"/>
          <w:sz w:val="20"/>
          <w:szCs w:val="20"/>
        </w:rPr>
        <w:t>351 – Pohledávky za účastníky sdružení</w:t>
      </w:r>
    </w:p>
    <w:p w:rsidR="00C97DA2" w:rsidRDefault="00C97DA2" w:rsidP="00D43C8A">
      <w:pPr>
        <w:contextualSpacing/>
        <w:rPr>
          <w:rFonts w:ascii="Times New Roman" w:hAnsi="Times New Roman" w:cs="Times New Roman"/>
          <w:sz w:val="20"/>
          <w:szCs w:val="20"/>
        </w:rPr>
      </w:pPr>
      <w:r>
        <w:rPr>
          <w:rFonts w:ascii="Times New Roman" w:hAnsi="Times New Roman" w:cs="Times New Roman"/>
          <w:sz w:val="20"/>
          <w:szCs w:val="20"/>
        </w:rPr>
        <w:lastRenderedPageBreak/>
        <w:t>352 – Závazky k účastníkům sdružení</w:t>
      </w:r>
    </w:p>
    <w:p w:rsidR="00C97DA2" w:rsidRDefault="00C97DA2" w:rsidP="00D43C8A">
      <w:pPr>
        <w:contextualSpacing/>
        <w:rPr>
          <w:rFonts w:ascii="Times New Roman" w:hAnsi="Times New Roman" w:cs="Times New Roman"/>
          <w:sz w:val="20"/>
          <w:szCs w:val="20"/>
        </w:rPr>
      </w:pPr>
      <w:r>
        <w:rPr>
          <w:rFonts w:ascii="Times New Roman" w:hAnsi="Times New Roman" w:cs="Times New Roman"/>
          <w:sz w:val="20"/>
          <w:szCs w:val="20"/>
        </w:rPr>
        <w:t>396 – Spojovací účet při sdružení</w:t>
      </w:r>
    </w:p>
    <w:p w:rsidR="00C97DA2" w:rsidRDefault="00C97DA2" w:rsidP="00D43C8A">
      <w:pPr>
        <w:contextualSpacing/>
        <w:rPr>
          <w:rFonts w:ascii="Times New Roman" w:hAnsi="Times New Roman" w:cs="Times New Roman"/>
          <w:sz w:val="20"/>
          <w:szCs w:val="20"/>
        </w:rPr>
      </w:pPr>
    </w:p>
    <w:p w:rsidR="00C97DA2" w:rsidRDefault="00C97DA2" w:rsidP="00D43C8A">
      <w:pPr>
        <w:contextualSpacing/>
        <w:rPr>
          <w:rFonts w:ascii="Times New Roman" w:hAnsi="Times New Roman" w:cs="Times New Roman"/>
          <w:b/>
          <w:sz w:val="20"/>
          <w:szCs w:val="20"/>
        </w:rPr>
      </w:pPr>
      <w:r>
        <w:rPr>
          <w:rFonts w:ascii="Times New Roman" w:hAnsi="Times New Roman" w:cs="Times New Roman"/>
          <w:b/>
          <w:sz w:val="20"/>
          <w:szCs w:val="20"/>
        </w:rPr>
        <w:t>Oficiální převodový můstek nebyl vydán</w:t>
      </w:r>
      <w:r w:rsidR="009B708A">
        <w:rPr>
          <w:rFonts w:ascii="Times New Roman" w:hAnsi="Times New Roman" w:cs="Times New Roman"/>
          <w:b/>
          <w:sz w:val="20"/>
          <w:szCs w:val="20"/>
        </w:rPr>
        <w:t>,</w:t>
      </w:r>
      <w:r>
        <w:rPr>
          <w:rFonts w:ascii="Times New Roman" w:hAnsi="Times New Roman" w:cs="Times New Roman"/>
          <w:b/>
          <w:sz w:val="20"/>
          <w:szCs w:val="20"/>
        </w:rPr>
        <w:t xml:space="preserve"> níže je uveden pouze doporučený převodový můstek, který provedete k </w:t>
      </w:r>
      <w:proofErr w:type="gramStart"/>
      <w:r>
        <w:rPr>
          <w:rFonts w:ascii="Times New Roman" w:hAnsi="Times New Roman" w:cs="Times New Roman"/>
          <w:b/>
          <w:sz w:val="20"/>
          <w:szCs w:val="20"/>
        </w:rPr>
        <w:t>1.1.2014</w:t>
      </w:r>
      <w:proofErr w:type="gramEnd"/>
    </w:p>
    <w:tbl>
      <w:tblPr>
        <w:tblStyle w:val="Mkatabulky"/>
        <w:tblW w:w="0" w:type="auto"/>
        <w:tblLook w:val="04A0"/>
      </w:tblPr>
      <w:tblGrid>
        <w:gridCol w:w="959"/>
        <w:gridCol w:w="3647"/>
        <w:gridCol w:w="889"/>
        <w:gridCol w:w="3717"/>
      </w:tblGrid>
      <w:tr w:rsidR="00C97DA2" w:rsidTr="00C97DA2">
        <w:tc>
          <w:tcPr>
            <w:tcW w:w="959" w:type="dxa"/>
          </w:tcPr>
          <w:p w:rsidR="00C97DA2" w:rsidRDefault="00C97DA2" w:rsidP="00D43C8A">
            <w:pPr>
              <w:contextualSpacing/>
              <w:rPr>
                <w:rFonts w:ascii="Times New Roman" w:hAnsi="Times New Roman" w:cs="Times New Roman"/>
                <w:b/>
                <w:sz w:val="20"/>
                <w:szCs w:val="20"/>
              </w:rPr>
            </w:pPr>
            <w:r>
              <w:rPr>
                <w:rFonts w:ascii="Times New Roman" w:hAnsi="Times New Roman" w:cs="Times New Roman"/>
                <w:b/>
                <w:sz w:val="20"/>
                <w:szCs w:val="20"/>
              </w:rPr>
              <w:t>Účet 2013</w:t>
            </w:r>
          </w:p>
        </w:tc>
        <w:tc>
          <w:tcPr>
            <w:tcW w:w="3647" w:type="dxa"/>
          </w:tcPr>
          <w:p w:rsidR="00C97DA2" w:rsidRDefault="00C97DA2" w:rsidP="00D43C8A">
            <w:pPr>
              <w:contextualSpacing/>
              <w:rPr>
                <w:rFonts w:ascii="Times New Roman" w:hAnsi="Times New Roman" w:cs="Times New Roman"/>
                <w:b/>
                <w:sz w:val="20"/>
                <w:szCs w:val="20"/>
              </w:rPr>
            </w:pPr>
          </w:p>
        </w:tc>
        <w:tc>
          <w:tcPr>
            <w:tcW w:w="889" w:type="dxa"/>
          </w:tcPr>
          <w:p w:rsidR="00C97DA2" w:rsidRDefault="00C97DA2" w:rsidP="00D43C8A">
            <w:pPr>
              <w:contextualSpacing/>
              <w:rPr>
                <w:rFonts w:ascii="Times New Roman" w:hAnsi="Times New Roman" w:cs="Times New Roman"/>
                <w:b/>
                <w:sz w:val="20"/>
                <w:szCs w:val="20"/>
              </w:rPr>
            </w:pPr>
            <w:r>
              <w:rPr>
                <w:rFonts w:ascii="Times New Roman" w:hAnsi="Times New Roman" w:cs="Times New Roman"/>
                <w:b/>
                <w:sz w:val="20"/>
                <w:szCs w:val="20"/>
              </w:rPr>
              <w:t>Účet 2014</w:t>
            </w:r>
          </w:p>
        </w:tc>
        <w:tc>
          <w:tcPr>
            <w:tcW w:w="3717" w:type="dxa"/>
          </w:tcPr>
          <w:p w:rsidR="00C97DA2" w:rsidRDefault="00C97DA2" w:rsidP="00D43C8A">
            <w:pPr>
              <w:contextualSpacing/>
              <w:rPr>
                <w:rFonts w:ascii="Times New Roman" w:hAnsi="Times New Roman" w:cs="Times New Roman"/>
                <w:b/>
                <w:sz w:val="20"/>
                <w:szCs w:val="20"/>
              </w:rPr>
            </w:pPr>
            <w:r>
              <w:rPr>
                <w:rFonts w:ascii="Times New Roman" w:hAnsi="Times New Roman" w:cs="Times New Roman"/>
                <w:b/>
                <w:sz w:val="20"/>
                <w:szCs w:val="20"/>
              </w:rPr>
              <w:t>Název</w:t>
            </w:r>
          </w:p>
        </w:tc>
      </w:tr>
      <w:tr w:rsidR="00C97DA2" w:rsidTr="00C97DA2">
        <w:tc>
          <w:tcPr>
            <w:tcW w:w="959" w:type="dxa"/>
          </w:tcPr>
          <w:p w:rsidR="00C97DA2" w:rsidRPr="00C97DA2" w:rsidRDefault="00C97DA2" w:rsidP="00D43C8A">
            <w:pPr>
              <w:contextualSpacing/>
              <w:rPr>
                <w:rFonts w:ascii="Times New Roman" w:hAnsi="Times New Roman" w:cs="Times New Roman"/>
                <w:sz w:val="20"/>
                <w:szCs w:val="20"/>
              </w:rPr>
            </w:pPr>
            <w:r w:rsidRPr="00C97DA2">
              <w:rPr>
                <w:rFonts w:ascii="Times New Roman" w:hAnsi="Times New Roman" w:cs="Times New Roman"/>
                <w:sz w:val="20"/>
                <w:szCs w:val="20"/>
              </w:rPr>
              <w:t>01</w:t>
            </w:r>
            <w:r>
              <w:rPr>
                <w:rFonts w:ascii="Times New Roman" w:hAnsi="Times New Roman" w:cs="Times New Roman"/>
                <w:sz w:val="20"/>
                <w:szCs w:val="20"/>
              </w:rPr>
              <w:t>x</w:t>
            </w:r>
          </w:p>
        </w:tc>
        <w:tc>
          <w:tcPr>
            <w:tcW w:w="3647" w:type="dxa"/>
          </w:tcPr>
          <w:p w:rsidR="00C97DA2" w:rsidRPr="00C97DA2" w:rsidRDefault="00C97DA2" w:rsidP="00D43C8A">
            <w:pPr>
              <w:contextualSpacing/>
              <w:rPr>
                <w:rFonts w:ascii="Times New Roman" w:hAnsi="Times New Roman" w:cs="Times New Roman"/>
                <w:sz w:val="20"/>
                <w:szCs w:val="20"/>
              </w:rPr>
            </w:pPr>
          </w:p>
        </w:tc>
        <w:tc>
          <w:tcPr>
            <w:tcW w:w="889" w:type="dxa"/>
          </w:tcPr>
          <w:p w:rsidR="00C97DA2" w:rsidRPr="00C97DA2" w:rsidRDefault="00821810" w:rsidP="00D43C8A">
            <w:pPr>
              <w:contextualSpacing/>
              <w:rPr>
                <w:rFonts w:ascii="Times New Roman" w:hAnsi="Times New Roman" w:cs="Times New Roman"/>
                <w:sz w:val="20"/>
                <w:szCs w:val="20"/>
              </w:rPr>
            </w:pPr>
            <w:r>
              <w:rPr>
                <w:rFonts w:ascii="Times New Roman" w:hAnsi="Times New Roman" w:cs="Times New Roman"/>
                <w:sz w:val="20"/>
                <w:szCs w:val="20"/>
              </w:rPr>
              <w:t>035</w:t>
            </w:r>
          </w:p>
        </w:tc>
        <w:tc>
          <w:tcPr>
            <w:tcW w:w="3717" w:type="dxa"/>
          </w:tcPr>
          <w:p w:rsidR="00C97DA2" w:rsidRPr="00C97DA2" w:rsidRDefault="00821810" w:rsidP="00D43C8A">
            <w:pPr>
              <w:contextualSpacing/>
              <w:rPr>
                <w:rFonts w:ascii="Times New Roman" w:hAnsi="Times New Roman" w:cs="Times New Roman"/>
                <w:sz w:val="20"/>
                <w:szCs w:val="20"/>
              </w:rPr>
            </w:pPr>
            <w:r>
              <w:rPr>
                <w:rFonts w:ascii="Times New Roman" w:hAnsi="Times New Roman" w:cs="Times New Roman"/>
                <w:sz w:val="20"/>
                <w:szCs w:val="20"/>
              </w:rPr>
              <w:t>Dlouhodobý nehmotný majetek určený k prodeji</w:t>
            </w:r>
          </w:p>
        </w:tc>
      </w:tr>
      <w:tr w:rsidR="00C97DA2" w:rsidTr="00C97DA2">
        <w:tc>
          <w:tcPr>
            <w:tcW w:w="959" w:type="dxa"/>
          </w:tcPr>
          <w:p w:rsidR="00C97DA2" w:rsidRPr="00C97DA2" w:rsidRDefault="00821810" w:rsidP="00D43C8A">
            <w:pPr>
              <w:contextualSpacing/>
              <w:rPr>
                <w:rFonts w:ascii="Times New Roman" w:hAnsi="Times New Roman" w:cs="Times New Roman"/>
                <w:sz w:val="20"/>
                <w:szCs w:val="20"/>
              </w:rPr>
            </w:pPr>
            <w:r>
              <w:rPr>
                <w:rFonts w:ascii="Times New Roman" w:hAnsi="Times New Roman" w:cs="Times New Roman"/>
                <w:sz w:val="20"/>
                <w:szCs w:val="20"/>
              </w:rPr>
              <w:t>02x, 031, 032</w:t>
            </w:r>
          </w:p>
        </w:tc>
        <w:tc>
          <w:tcPr>
            <w:tcW w:w="3647" w:type="dxa"/>
          </w:tcPr>
          <w:p w:rsidR="00C97DA2" w:rsidRPr="00C97DA2" w:rsidRDefault="00C97DA2" w:rsidP="00D43C8A">
            <w:pPr>
              <w:contextualSpacing/>
              <w:rPr>
                <w:rFonts w:ascii="Times New Roman" w:hAnsi="Times New Roman" w:cs="Times New Roman"/>
                <w:sz w:val="20"/>
                <w:szCs w:val="20"/>
              </w:rPr>
            </w:pPr>
          </w:p>
        </w:tc>
        <w:tc>
          <w:tcPr>
            <w:tcW w:w="889" w:type="dxa"/>
          </w:tcPr>
          <w:p w:rsidR="00C97DA2" w:rsidRPr="00C97DA2" w:rsidRDefault="00821810" w:rsidP="00D43C8A">
            <w:pPr>
              <w:contextualSpacing/>
              <w:rPr>
                <w:rFonts w:ascii="Times New Roman" w:hAnsi="Times New Roman" w:cs="Times New Roman"/>
                <w:sz w:val="20"/>
                <w:szCs w:val="20"/>
              </w:rPr>
            </w:pPr>
            <w:r>
              <w:rPr>
                <w:rFonts w:ascii="Times New Roman" w:hAnsi="Times New Roman" w:cs="Times New Roman"/>
                <w:sz w:val="20"/>
                <w:szCs w:val="20"/>
              </w:rPr>
              <w:t>036</w:t>
            </w:r>
          </w:p>
        </w:tc>
        <w:tc>
          <w:tcPr>
            <w:tcW w:w="3717" w:type="dxa"/>
          </w:tcPr>
          <w:p w:rsidR="00C97DA2" w:rsidRPr="00C97DA2" w:rsidRDefault="00F165B6" w:rsidP="00D43C8A">
            <w:pPr>
              <w:contextualSpacing/>
              <w:rPr>
                <w:rFonts w:ascii="Times New Roman" w:hAnsi="Times New Roman" w:cs="Times New Roman"/>
                <w:sz w:val="20"/>
                <w:szCs w:val="20"/>
              </w:rPr>
            </w:pPr>
            <w:r>
              <w:rPr>
                <w:rFonts w:ascii="Times New Roman" w:hAnsi="Times New Roman" w:cs="Times New Roman"/>
                <w:sz w:val="20"/>
                <w:szCs w:val="20"/>
              </w:rPr>
              <w:t>Dlouhodobý hmotný majetek určený k prodeji</w:t>
            </w:r>
          </w:p>
        </w:tc>
      </w:tr>
      <w:tr w:rsidR="00F165B6" w:rsidTr="00F165B6">
        <w:trPr>
          <w:trHeight w:val="64"/>
        </w:trPr>
        <w:tc>
          <w:tcPr>
            <w:tcW w:w="959" w:type="dxa"/>
            <w:vMerge w:val="restart"/>
          </w:tcPr>
          <w:p w:rsidR="00F165B6" w:rsidRPr="00C97DA2" w:rsidRDefault="00F165B6" w:rsidP="00D43C8A">
            <w:pPr>
              <w:contextualSpacing/>
              <w:rPr>
                <w:rFonts w:ascii="Times New Roman" w:hAnsi="Times New Roman" w:cs="Times New Roman"/>
                <w:sz w:val="20"/>
                <w:szCs w:val="20"/>
              </w:rPr>
            </w:pPr>
            <w:r>
              <w:rPr>
                <w:rFonts w:ascii="Times New Roman" w:hAnsi="Times New Roman" w:cs="Times New Roman"/>
                <w:sz w:val="20"/>
                <w:szCs w:val="20"/>
              </w:rPr>
              <w:t>336</w:t>
            </w:r>
          </w:p>
        </w:tc>
        <w:tc>
          <w:tcPr>
            <w:tcW w:w="3647" w:type="dxa"/>
            <w:vMerge w:val="restart"/>
          </w:tcPr>
          <w:p w:rsidR="00F165B6" w:rsidRPr="00C97DA2" w:rsidRDefault="00F165B6" w:rsidP="00D43C8A">
            <w:pPr>
              <w:contextualSpacing/>
              <w:rPr>
                <w:rFonts w:ascii="Times New Roman" w:hAnsi="Times New Roman" w:cs="Times New Roman"/>
                <w:sz w:val="20"/>
                <w:szCs w:val="20"/>
              </w:rPr>
            </w:pPr>
            <w:r>
              <w:rPr>
                <w:rFonts w:ascii="Times New Roman" w:hAnsi="Times New Roman" w:cs="Times New Roman"/>
                <w:sz w:val="20"/>
                <w:szCs w:val="20"/>
              </w:rPr>
              <w:t>Zúčtování s institucemi SP a ZP</w:t>
            </w:r>
          </w:p>
        </w:tc>
        <w:tc>
          <w:tcPr>
            <w:tcW w:w="889" w:type="dxa"/>
          </w:tcPr>
          <w:p w:rsidR="00F165B6" w:rsidRPr="00C97DA2" w:rsidRDefault="00F165B6" w:rsidP="00D43C8A">
            <w:pPr>
              <w:contextualSpacing/>
              <w:rPr>
                <w:rFonts w:ascii="Times New Roman" w:hAnsi="Times New Roman" w:cs="Times New Roman"/>
                <w:sz w:val="20"/>
                <w:szCs w:val="20"/>
              </w:rPr>
            </w:pPr>
            <w:r>
              <w:rPr>
                <w:rFonts w:ascii="Times New Roman" w:hAnsi="Times New Roman" w:cs="Times New Roman"/>
                <w:sz w:val="20"/>
                <w:szCs w:val="20"/>
              </w:rPr>
              <w:t>336</w:t>
            </w:r>
          </w:p>
        </w:tc>
        <w:tc>
          <w:tcPr>
            <w:tcW w:w="3717" w:type="dxa"/>
          </w:tcPr>
          <w:p w:rsidR="00F165B6" w:rsidRPr="00C97DA2" w:rsidRDefault="00F165B6" w:rsidP="00D43C8A">
            <w:pPr>
              <w:contextualSpacing/>
              <w:rPr>
                <w:rFonts w:ascii="Times New Roman" w:hAnsi="Times New Roman" w:cs="Times New Roman"/>
                <w:sz w:val="20"/>
                <w:szCs w:val="20"/>
              </w:rPr>
            </w:pPr>
            <w:r>
              <w:rPr>
                <w:rFonts w:ascii="Times New Roman" w:hAnsi="Times New Roman" w:cs="Times New Roman"/>
                <w:sz w:val="20"/>
                <w:szCs w:val="20"/>
              </w:rPr>
              <w:t>Sociální pojištění</w:t>
            </w:r>
          </w:p>
        </w:tc>
      </w:tr>
      <w:tr w:rsidR="00F165B6" w:rsidTr="00C97DA2">
        <w:trPr>
          <w:trHeight w:val="62"/>
        </w:trPr>
        <w:tc>
          <w:tcPr>
            <w:tcW w:w="959" w:type="dxa"/>
            <w:vMerge/>
          </w:tcPr>
          <w:p w:rsidR="00F165B6" w:rsidRDefault="00F165B6" w:rsidP="00D43C8A">
            <w:pPr>
              <w:contextualSpacing/>
              <w:rPr>
                <w:rFonts w:ascii="Times New Roman" w:hAnsi="Times New Roman" w:cs="Times New Roman"/>
                <w:sz w:val="20"/>
                <w:szCs w:val="20"/>
              </w:rPr>
            </w:pPr>
          </w:p>
        </w:tc>
        <w:tc>
          <w:tcPr>
            <w:tcW w:w="3647" w:type="dxa"/>
            <w:vMerge/>
          </w:tcPr>
          <w:p w:rsidR="00F165B6" w:rsidRDefault="00F165B6" w:rsidP="00D43C8A">
            <w:pPr>
              <w:contextualSpacing/>
              <w:rPr>
                <w:rFonts w:ascii="Times New Roman" w:hAnsi="Times New Roman" w:cs="Times New Roman"/>
                <w:sz w:val="20"/>
                <w:szCs w:val="20"/>
              </w:rPr>
            </w:pPr>
          </w:p>
        </w:tc>
        <w:tc>
          <w:tcPr>
            <w:tcW w:w="889" w:type="dxa"/>
          </w:tcPr>
          <w:p w:rsidR="00F165B6" w:rsidRDefault="00F165B6" w:rsidP="00D43C8A">
            <w:pPr>
              <w:contextualSpacing/>
              <w:rPr>
                <w:rFonts w:ascii="Times New Roman" w:hAnsi="Times New Roman" w:cs="Times New Roman"/>
                <w:sz w:val="20"/>
                <w:szCs w:val="20"/>
              </w:rPr>
            </w:pPr>
            <w:r>
              <w:rPr>
                <w:rFonts w:ascii="Times New Roman" w:hAnsi="Times New Roman" w:cs="Times New Roman"/>
                <w:sz w:val="20"/>
                <w:szCs w:val="20"/>
              </w:rPr>
              <w:t>337</w:t>
            </w:r>
          </w:p>
        </w:tc>
        <w:tc>
          <w:tcPr>
            <w:tcW w:w="3717" w:type="dxa"/>
          </w:tcPr>
          <w:p w:rsidR="00F165B6" w:rsidRDefault="00F165B6" w:rsidP="00D43C8A">
            <w:pPr>
              <w:contextualSpacing/>
              <w:rPr>
                <w:rFonts w:ascii="Times New Roman" w:hAnsi="Times New Roman" w:cs="Times New Roman"/>
                <w:sz w:val="20"/>
                <w:szCs w:val="20"/>
              </w:rPr>
            </w:pPr>
            <w:r>
              <w:rPr>
                <w:rFonts w:ascii="Times New Roman" w:hAnsi="Times New Roman" w:cs="Times New Roman"/>
                <w:sz w:val="20"/>
                <w:szCs w:val="20"/>
              </w:rPr>
              <w:t>Zdravotní pojištění</w:t>
            </w:r>
          </w:p>
        </w:tc>
      </w:tr>
      <w:tr w:rsidR="00F165B6" w:rsidTr="00C97DA2">
        <w:trPr>
          <w:trHeight w:val="62"/>
        </w:trPr>
        <w:tc>
          <w:tcPr>
            <w:tcW w:w="959" w:type="dxa"/>
            <w:vMerge/>
          </w:tcPr>
          <w:p w:rsidR="00F165B6" w:rsidRDefault="00F165B6" w:rsidP="00D43C8A">
            <w:pPr>
              <w:contextualSpacing/>
              <w:rPr>
                <w:rFonts w:ascii="Times New Roman" w:hAnsi="Times New Roman" w:cs="Times New Roman"/>
                <w:sz w:val="20"/>
                <w:szCs w:val="20"/>
              </w:rPr>
            </w:pPr>
          </w:p>
        </w:tc>
        <w:tc>
          <w:tcPr>
            <w:tcW w:w="3647" w:type="dxa"/>
            <w:vMerge/>
          </w:tcPr>
          <w:p w:rsidR="00F165B6" w:rsidRDefault="00F165B6" w:rsidP="00D43C8A">
            <w:pPr>
              <w:contextualSpacing/>
              <w:rPr>
                <w:rFonts w:ascii="Times New Roman" w:hAnsi="Times New Roman" w:cs="Times New Roman"/>
                <w:sz w:val="20"/>
                <w:szCs w:val="20"/>
              </w:rPr>
            </w:pPr>
          </w:p>
        </w:tc>
        <w:tc>
          <w:tcPr>
            <w:tcW w:w="889" w:type="dxa"/>
          </w:tcPr>
          <w:p w:rsidR="00F165B6" w:rsidRDefault="00F165B6" w:rsidP="00D43C8A">
            <w:pPr>
              <w:contextualSpacing/>
              <w:rPr>
                <w:rFonts w:ascii="Times New Roman" w:hAnsi="Times New Roman" w:cs="Times New Roman"/>
                <w:sz w:val="20"/>
                <w:szCs w:val="20"/>
              </w:rPr>
            </w:pPr>
            <w:r>
              <w:rPr>
                <w:rFonts w:ascii="Times New Roman" w:hAnsi="Times New Roman" w:cs="Times New Roman"/>
                <w:sz w:val="20"/>
                <w:szCs w:val="20"/>
              </w:rPr>
              <w:t>338</w:t>
            </w:r>
          </w:p>
        </w:tc>
        <w:tc>
          <w:tcPr>
            <w:tcW w:w="3717" w:type="dxa"/>
          </w:tcPr>
          <w:p w:rsidR="00F165B6" w:rsidRDefault="00F165B6" w:rsidP="00D43C8A">
            <w:pPr>
              <w:contextualSpacing/>
              <w:rPr>
                <w:rFonts w:ascii="Times New Roman" w:hAnsi="Times New Roman" w:cs="Times New Roman"/>
                <w:sz w:val="20"/>
                <w:szCs w:val="20"/>
              </w:rPr>
            </w:pPr>
            <w:r>
              <w:rPr>
                <w:rFonts w:ascii="Times New Roman" w:hAnsi="Times New Roman" w:cs="Times New Roman"/>
                <w:sz w:val="20"/>
                <w:szCs w:val="20"/>
              </w:rPr>
              <w:t>Důchodové spoření (II. pilíř)</w:t>
            </w:r>
          </w:p>
        </w:tc>
      </w:tr>
      <w:tr w:rsidR="009B708A" w:rsidTr="009B708A">
        <w:trPr>
          <w:trHeight w:val="94"/>
        </w:trPr>
        <w:tc>
          <w:tcPr>
            <w:tcW w:w="959" w:type="dxa"/>
            <w:vMerge w:val="restart"/>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351</w:t>
            </w:r>
          </w:p>
        </w:tc>
        <w:tc>
          <w:tcPr>
            <w:tcW w:w="3647" w:type="dxa"/>
            <w:vMerge w:val="restart"/>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Pohledávky za účastníky sdružení</w:t>
            </w:r>
          </w:p>
        </w:tc>
        <w:tc>
          <w:tcPr>
            <w:tcW w:w="889"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377</w:t>
            </w:r>
          </w:p>
        </w:tc>
        <w:tc>
          <w:tcPr>
            <w:tcW w:w="3717"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Ostatní krátkodobé pohledávky</w:t>
            </w:r>
          </w:p>
        </w:tc>
      </w:tr>
      <w:tr w:rsidR="009B708A" w:rsidTr="00C97DA2">
        <w:trPr>
          <w:trHeight w:val="94"/>
        </w:trPr>
        <w:tc>
          <w:tcPr>
            <w:tcW w:w="959" w:type="dxa"/>
            <w:vMerge/>
          </w:tcPr>
          <w:p w:rsidR="009B708A" w:rsidRDefault="009B708A" w:rsidP="00D43C8A">
            <w:pPr>
              <w:contextualSpacing/>
              <w:rPr>
                <w:rFonts w:ascii="Times New Roman" w:hAnsi="Times New Roman" w:cs="Times New Roman"/>
                <w:sz w:val="20"/>
                <w:szCs w:val="20"/>
              </w:rPr>
            </w:pPr>
          </w:p>
        </w:tc>
        <w:tc>
          <w:tcPr>
            <w:tcW w:w="3647" w:type="dxa"/>
            <w:vMerge/>
          </w:tcPr>
          <w:p w:rsidR="009B708A" w:rsidRDefault="009B708A" w:rsidP="00D43C8A">
            <w:pPr>
              <w:contextualSpacing/>
              <w:rPr>
                <w:rFonts w:ascii="Times New Roman" w:hAnsi="Times New Roman" w:cs="Times New Roman"/>
                <w:sz w:val="20"/>
                <w:szCs w:val="20"/>
              </w:rPr>
            </w:pPr>
          </w:p>
        </w:tc>
        <w:tc>
          <w:tcPr>
            <w:tcW w:w="889"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469</w:t>
            </w:r>
          </w:p>
        </w:tc>
        <w:tc>
          <w:tcPr>
            <w:tcW w:w="3717"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Ostatní dlouhodobé pohledávky</w:t>
            </w:r>
          </w:p>
        </w:tc>
      </w:tr>
      <w:tr w:rsidR="009B708A" w:rsidTr="009B708A">
        <w:trPr>
          <w:trHeight w:val="194"/>
        </w:trPr>
        <w:tc>
          <w:tcPr>
            <w:tcW w:w="959" w:type="dxa"/>
            <w:vMerge w:val="restart"/>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197</w:t>
            </w:r>
          </w:p>
        </w:tc>
        <w:tc>
          <w:tcPr>
            <w:tcW w:w="3647" w:type="dxa"/>
            <w:vMerge w:val="restart"/>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Opravné položky k pohledávkám za účastníky sdružení</w:t>
            </w:r>
          </w:p>
        </w:tc>
        <w:tc>
          <w:tcPr>
            <w:tcW w:w="889"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199</w:t>
            </w:r>
          </w:p>
        </w:tc>
        <w:tc>
          <w:tcPr>
            <w:tcW w:w="3717"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Opravné položky k ostatním krátkodobým pohledávkám</w:t>
            </w:r>
          </w:p>
        </w:tc>
      </w:tr>
      <w:tr w:rsidR="009B708A" w:rsidTr="00C97DA2">
        <w:trPr>
          <w:trHeight w:val="194"/>
        </w:trPr>
        <w:tc>
          <w:tcPr>
            <w:tcW w:w="959" w:type="dxa"/>
            <w:vMerge/>
          </w:tcPr>
          <w:p w:rsidR="009B708A" w:rsidRDefault="009B708A" w:rsidP="00D43C8A">
            <w:pPr>
              <w:contextualSpacing/>
              <w:rPr>
                <w:rFonts w:ascii="Times New Roman" w:hAnsi="Times New Roman" w:cs="Times New Roman"/>
                <w:sz w:val="20"/>
                <w:szCs w:val="20"/>
              </w:rPr>
            </w:pPr>
          </w:p>
        </w:tc>
        <w:tc>
          <w:tcPr>
            <w:tcW w:w="3647" w:type="dxa"/>
            <w:vMerge/>
          </w:tcPr>
          <w:p w:rsidR="009B708A" w:rsidRDefault="009B708A" w:rsidP="00D43C8A">
            <w:pPr>
              <w:contextualSpacing/>
              <w:rPr>
                <w:rFonts w:ascii="Times New Roman" w:hAnsi="Times New Roman" w:cs="Times New Roman"/>
                <w:sz w:val="20"/>
                <w:szCs w:val="20"/>
              </w:rPr>
            </w:pPr>
          </w:p>
        </w:tc>
        <w:tc>
          <w:tcPr>
            <w:tcW w:w="889"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149</w:t>
            </w:r>
          </w:p>
        </w:tc>
        <w:tc>
          <w:tcPr>
            <w:tcW w:w="3717"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Opravné položky k ostatním dlouhodobým pohledávkám</w:t>
            </w:r>
          </w:p>
        </w:tc>
      </w:tr>
      <w:tr w:rsidR="009B708A" w:rsidTr="009B708A">
        <w:trPr>
          <w:trHeight w:val="94"/>
        </w:trPr>
        <w:tc>
          <w:tcPr>
            <w:tcW w:w="959" w:type="dxa"/>
            <w:vMerge w:val="restart"/>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352</w:t>
            </w:r>
          </w:p>
        </w:tc>
        <w:tc>
          <w:tcPr>
            <w:tcW w:w="3647" w:type="dxa"/>
            <w:vMerge w:val="restart"/>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Závazky k účastníkům sdružení</w:t>
            </w:r>
          </w:p>
        </w:tc>
        <w:tc>
          <w:tcPr>
            <w:tcW w:w="889"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378</w:t>
            </w:r>
          </w:p>
        </w:tc>
        <w:tc>
          <w:tcPr>
            <w:tcW w:w="3717"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Ostatní krátkodobé závazky</w:t>
            </w:r>
          </w:p>
        </w:tc>
      </w:tr>
      <w:tr w:rsidR="009B708A" w:rsidTr="00C97DA2">
        <w:trPr>
          <w:trHeight w:val="94"/>
        </w:trPr>
        <w:tc>
          <w:tcPr>
            <w:tcW w:w="959" w:type="dxa"/>
            <w:vMerge/>
          </w:tcPr>
          <w:p w:rsidR="009B708A" w:rsidRDefault="009B708A" w:rsidP="00D43C8A">
            <w:pPr>
              <w:contextualSpacing/>
              <w:rPr>
                <w:rFonts w:ascii="Times New Roman" w:hAnsi="Times New Roman" w:cs="Times New Roman"/>
                <w:sz w:val="20"/>
                <w:szCs w:val="20"/>
              </w:rPr>
            </w:pPr>
          </w:p>
        </w:tc>
        <w:tc>
          <w:tcPr>
            <w:tcW w:w="3647" w:type="dxa"/>
            <w:vMerge/>
          </w:tcPr>
          <w:p w:rsidR="009B708A" w:rsidRDefault="009B708A" w:rsidP="00D43C8A">
            <w:pPr>
              <w:contextualSpacing/>
              <w:rPr>
                <w:rFonts w:ascii="Times New Roman" w:hAnsi="Times New Roman" w:cs="Times New Roman"/>
                <w:sz w:val="20"/>
                <w:szCs w:val="20"/>
              </w:rPr>
            </w:pPr>
          </w:p>
        </w:tc>
        <w:tc>
          <w:tcPr>
            <w:tcW w:w="889"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459</w:t>
            </w:r>
          </w:p>
        </w:tc>
        <w:tc>
          <w:tcPr>
            <w:tcW w:w="3717"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Ostatní dlouhodobé závazky</w:t>
            </w:r>
          </w:p>
        </w:tc>
      </w:tr>
      <w:tr w:rsidR="009B708A" w:rsidTr="009B708A">
        <w:trPr>
          <w:trHeight w:val="64"/>
        </w:trPr>
        <w:tc>
          <w:tcPr>
            <w:tcW w:w="959" w:type="dxa"/>
            <w:vMerge w:val="restart"/>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325</w:t>
            </w:r>
          </w:p>
        </w:tc>
        <w:tc>
          <w:tcPr>
            <w:tcW w:w="3647" w:type="dxa"/>
            <w:vMerge w:val="restart"/>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Závazky z dělené správy a kaucí</w:t>
            </w:r>
          </w:p>
        </w:tc>
        <w:tc>
          <w:tcPr>
            <w:tcW w:w="889"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325</w:t>
            </w:r>
          </w:p>
        </w:tc>
        <w:tc>
          <w:tcPr>
            <w:tcW w:w="3717"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Závazky z dělené správy</w:t>
            </w:r>
          </w:p>
        </w:tc>
      </w:tr>
      <w:tr w:rsidR="009B708A" w:rsidTr="00C97DA2">
        <w:trPr>
          <w:trHeight w:val="62"/>
        </w:trPr>
        <w:tc>
          <w:tcPr>
            <w:tcW w:w="959" w:type="dxa"/>
            <w:vMerge/>
          </w:tcPr>
          <w:p w:rsidR="009B708A" w:rsidRDefault="009B708A" w:rsidP="00D43C8A">
            <w:pPr>
              <w:contextualSpacing/>
              <w:rPr>
                <w:rFonts w:ascii="Times New Roman" w:hAnsi="Times New Roman" w:cs="Times New Roman"/>
                <w:sz w:val="20"/>
                <w:szCs w:val="20"/>
              </w:rPr>
            </w:pPr>
          </w:p>
        </w:tc>
        <w:tc>
          <w:tcPr>
            <w:tcW w:w="3647" w:type="dxa"/>
            <w:vMerge/>
          </w:tcPr>
          <w:p w:rsidR="009B708A" w:rsidRDefault="009B708A" w:rsidP="00D43C8A">
            <w:pPr>
              <w:contextualSpacing/>
              <w:rPr>
                <w:rFonts w:ascii="Times New Roman" w:hAnsi="Times New Roman" w:cs="Times New Roman"/>
                <w:sz w:val="20"/>
                <w:szCs w:val="20"/>
              </w:rPr>
            </w:pPr>
          </w:p>
        </w:tc>
        <w:tc>
          <w:tcPr>
            <w:tcW w:w="889"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 xml:space="preserve">378 </w:t>
            </w:r>
          </w:p>
        </w:tc>
        <w:tc>
          <w:tcPr>
            <w:tcW w:w="3717"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Ostatní krátkodobé závazky (kauce)</w:t>
            </w:r>
          </w:p>
        </w:tc>
      </w:tr>
      <w:tr w:rsidR="009B708A" w:rsidTr="00C97DA2">
        <w:trPr>
          <w:trHeight w:val="62"/>
        </w:trPr>
        <w:tc>
          <w:tcPr>
            <w:tcW w:w="959" w:type="dxa"/>
            <w:vMerge/>
          </w:tcPr>
          <w:p w:rsidR="009B708A" w:rsidRDefault="009B708A" w:rsidP="00D43C8A">
            <w:pPr>
              <w:contextualSpacing/>
              <w:rPr>
                <w:rFonts w:ascii="Times New Roman" w:hAnsi="Times New Roman" w:cs="Times New Roman"/>
                <w:sz w:val="20"/>
                <w:szCs w:val="20"/>
              </w:rPr>
            </w:pPr>
          </w:p>
        </w:tc>
        <w:tc>
          <w:tcPr>
            <w:tcW w:w="3647" w:type="dxa"/>
            <w:vMerge/>
          </w:tcPr>
          <w:p w:rsidR="009B708A" w:rsidRDefault="009B708A" w:rsidP="00D43C8A">
            <w:pPr>
              <w:contextualSpacing/>
              <w:rPr>
                <w:rFonts w:ascii="Times New Roman" w:hAnsi="Times New Roman" w:cs="Times New Roman"/>
                <w:sz w:val="20"/>
                <w:szCs w:val="20"/>
              </w:rPr>
            </w:pPr>
          </w:p>
        </w:tc>
        <w:tc>
          <w:tcPr>
            <w:tcW w:w="889"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459</w:t>
            </w:r>
          </w:p>
        </w:tc>
        <w:tc>
          <w:tcPr>
            <w:tcW w:w="3717" w:type="dxa"/>
          </w:tcPr>
          <w:p w:rsidR="009B708A" w:rsidRPr="00C97DA2" w:rsidRDefault="009B708A" w:rsidP="00D43C8A">
            <w:pPr>
              <w:contextualSpacing/>
              <w:rPr>
                <w:rFonts w:ascii="Times New Roman" w:hAnsi="Times New Roman" w:cs="Times New Roman"/>
                <w:sz w:val="20"/>
                <w:szCs w:val="20"/>
              </w:rPr>
            </w:pPr>
            <w:r>
              <w:rPr>
                <w:rFonts w:ascii="Times New Roman" w:hAnsi="Times New Roman" w:cs="Times New Roman"/>
                <w:sz w:val="20"/>
                <w:szCs w:val="20"/>
              </w:rPr>
              <w:t>Ostatní dlouhodobé závazky (kauce)</w:t>
            </w:r>
          </w:p>
        </w:tc>
      </w:tr>
    </w:tbl>
    <w:p w:rsidR="00C97DA2" w:rsidRDefault="00C97DA2" w:rsidP="00D43C8A">
      <w:pPr>
        <w:contextualSpacing/>
        <w:rPr>
          <w:rFonts w:ascii="Times New Roman" w:hAnsi="Times New Roman" w:cs="Times New Roman"/>
          <w:b/>
          <w:sz w:val="20"/>
          <w:szCs w:val="20"/>
        </w:rPr>
      </w:pPr>
    </w:p>
    <w:p w:rsidR="00102768" w:rsidRDefault="00102768" w:rsidP="00D43C8A">
      <w:pPr>
        <w:contextualSpacing/>
        <w:rPr>
          <w:rFonts w:ascii="Times New Roman" w:hAnsi="Times New Roman" w:cs="Times New Roman"/>
          <w:b/>
          <w:sz w:val="20"/>
          <w:szCs w:val="20"/>
        </w:rPr>
      </w:pPr>
    </w:p>
    <w:p w:rsidR="00102768" w:rsidRDefault="00102768" w:rsidP="00D43C8A">
      <w:pPr>
        <w:contextualSpacing/>
        <w:rPr>
          <w:rFonts w:ascii="Times New Roman" w:hAnsi="Times New Roman" w:cs="Times New Roman"/>
          <w:b/>
          <w:sz w:val="24"/>
          <w:szCs w:val="24"/>
        </w:rPr>
      </w:pPr>
      <w:r>
        <w:rPr>
          <w:rFonts w:ascii="Times New Roman" w:hAnsi="Times New Roman" w:cs="Times New Roman"/>
          <w:b/>
          <w:sz w:val="24"/>
          <w:szCs w:val="24"/>
        </w:rPr>
        <w:t>d) Stavby a pozemky</w:t>
      </w:r>
    </w:p>
    <w:p w:rsidR="00102768" w:rsidRDefault="00102768" w:rsidP="00D43C8A">
      <w:pPr>
        <w:contextualSpacing/>
        <w:rPr>
          <w:rFonts w:ascii="Times New Roman" w:hAnsi="Times New Roman" w:cs="Times New Roman"/>
          <w:sz w:val="20"/>
          <w:szCs w:val="20"/>
        </w:rPr>
      </w:pPr>
      <w:r>
        <w:rPr>
          <w:rFonts w:ascii="Times New Roman" w:hAnsi="Times New Roman" w:cs="Times New Roman"/>
          <w:sz w:val="20"/>
          <w:szCs w:val="20"/>
        </w:rPr>
        <w:t>Problematika pozemků a staveb podle nového občanského zákoníku.</w:t>
      </w:r>
    </w:p>
    <w:p w:rsidR="00102768" w:rsidRDefault="00102768" w:rsidP="00D43C8A">
      <w:pPr>
        <w:contextualSpacing/>
        <w:rPr>
          <w:rFonts w:ascii="Times New Roman" w:hAnsi="Times New Roman" w:cs="Times New Roman"/>
          <w:sz w:val="20"/>
          <w:szCs w:val="20"/>
        </w:rPr>
      </w:pPr>
      <w:r>
        <w:rPr>
          <w:rFonts w:ascii="Times New Roman" w:hAnsi="Times New Roman" w:cs="Times New Roman"/>
          <w:sz w:val="20"/>
          <w:szCs w:val="20"/>
        </w:rPr>
        <w:t>031 – obsahuje pozemky bez ohledu na výši ocenění, pokud nejsou zbožím. Definice pozemků v účetnictví reaguje na zásadní ustanovení v novém občanském zákoníku, že stavba na pozemku tvoří s pozemkem jednu věc. V účetnictví budou jako doposud sledovány odděleně.</w:t>
      </w:r>
    </w:p>
    <w:p w:rsidR="00102768" w:rsidRDefault="00560704" w:rsidP="00D43C8A">
      <w:pPr>
        <w:contextualSpacing/>
        <w:rPr>
          <w:rFonts w:ascii="Times New Roman" w:hAnsi="Times New Roman" w:cs="Times New Roman"/>
          <w:sz w:val="20"/>
          <w:szCs w:val="20"/>
        </w:rPr>
      </w:pPr>
      <w:r>
        <w:rPr>
          <w:rFonts w:ascii="Times New Roman" w:hAnsi="Times New Roman" w:cs="Times New Roman"/>
          <w:sz w:val="20"/>
          <w:szCs w:val="20"/>
        </w:rPr>
        <w:t xml:space="preserve">021 -  doplňuje se písm. h) </w:t>
      </w:r>
      <w:r>
        <w:rPr>
          <w:rFonts w:ascii="Times New Roman" w:hAnsi="Times New Roman" w:cs="Times New Roman"/>
          <w:b/>
          <w:sz w:val="20"/>
          <w:szCs w:val="20"/>
        </w:rPr>
        <w:t>právo stavby</w:t>
      </w:r>
    </w:p>
    <w:p w:rsidR="00560704" w:rsidRDefault="00560704" w:rsidP="00D43C8A">
      <w:pPr>
        <w:contextualSpacing/>
        <w:rPr>
          <w:rFonts w:ascii="Times New Roman" w:hAnsi="Times New Roman" w:cs="Times New Roman"/>
          <w:sz w:val="20"/>
          <w:szCs w:val="20"/>
        </w:rPr>
      </w:pPr>
      <w:r>
        <w:rPr>
          <w:rFonts w:ascii="Times New Roman" w:hAnsi="Times New Roman" w:cs="Times New Roman"/>
          <w:sz w:val="20"/>
          <w:szCs w:val="20"/>
        </w:rPr>
        <w:t xml:space="preserve">029 – doplňují se </w:t>
      </w:r>
      <w:r>
        <w:rPr>
          <w:rFonts w:ascii="Times New Roman" w:hAnsi="Times New Roman" w:cs="Times New Roman"/>
          <w:b/>
          <w:sz w:val="20"/>
          <w:szCs w:val="20"/>
        </w:rPr>
        <w:t>věcná břemena</w:t>
      </w:r>
    </w:p>
    <w:p w:rsidR="00560704" w:rsidRDefault="00560704" w:rsidP="00F0797E">
      <w:pPr>
        <w:spacing w:after="0"/>
        <w:contextualSpacing/>
        <w:rPr>
          <w:rFonts w:ascii="Times New Roman" w:hAnsi="Times New Roman" w:cs="Times New Roman"/>
          <w:sz w:val="20"/>
          <w:szCs w:val="20"/>
        </w:rPr>
      </w:pPr>
    </w:p>
    <w:p w:rsidR="00F0797E" w:rsidRDefault="00F0797E" w:rsidP="0096306A">
      <w:pPr>
        <w:spacing w:after="0"/>
        <w:contextualSpacing/>
        <w:rPr>
          <w:rFonts w:ascii="Times New Roman" w:hAnsi="Times New Roman" w:cs="Times New Roman"/>
          <w:sz w:val="20"/>
          <w:szCs w:val="20"/>
        </w:rPr>
      </w:pPr>
      <w:r>
        <w:rPr>
          <w:rFonts w:ascii="Times New Roman" w:hAnsi="Times New Roman" w:cs="Times New Roman"/>
          <w:b/>
          <w:sz w:val="20"/>
          <w:szCs w:val="20"/>
        </w:rPr>
        <w:t xml:space="preserve">Technické zhodnocení </w:t>
      </w:r>
      <w:r>
        <w:rPr>
          <w:rFonts w:ascii="Times New Roman" w:hAnsi="Times New Roman" w:cs="Times New Roman"/>
          <w:sz w:val="20"/>
          <w:szCs w:val="20"/>
        </w:rPr>
        <w:t>– do § 55 odst. 4 byla doplněna definice technického zhodnocení.</w:t>
      </w:r>
    </w:p>
    <w:p w:rsidR="00F0797E" w:rsidRDefault="00F0797E" w:rsidP="0096306A">
      <w:pPr>
        <w:pStyle w:val="Textodstavce"/>
        <w:numPr>
          <w:ilvl w:val="0"/>
          <w:numId w:val="0"/>
        </w:numPr>
        <w:tabs>
          <w:tab w:val="num" w:pos="709"/>
          <w:tab w:val="num" w:pos="786"/>
          <w:tab w:val="num" w:pos="993"/>
          <w:tab w:val="num" w:pos="2520"/>
        </w:tabs>
        <w:spacing w:before="0" w:after="0" w:line="276" w:lineRule="auto"/>
        <w:contextualSpacing/>
        <w:rPr>
          <w:color w:val="000000"/>
          <w:sz w:val="20"/>
        </w:rPr>
      </w:pPr>
      <w:r>
        <w:rPr>
          <w:sz w:val="20"/>
        </w:rPr>
        <w:t>„</w:t>
      </w:r>
      <w:r w:rsidRPr="00F0797E">
        <w:rPr>
          <w:color w:val="000000"/>
          <w:sz w:val="20"/>
        </w:rPr>
        <w:t>Technickým zhodnocením se rozumí zásahy do dlouhodobého nehmotného majetku nebo dlouhodobého hmotného majetku uvedeného do užívání, které mají za následek změnu jeho účelu nebo technických parametrů, nebo rozšíření vybavenosti nebo použitelnosti majetku, včetně nástaveb, přístaveb a stavebních úprav, pokud vynaložené náklady dosáhnou ocenění stanoveného pro vykazování jednotlivého dlouhodobého majetku podle § 11 odst. 2 nebo § 14 odst. 9.</w:t>
      </w:r>
      <w:r>
        <w:rPr>
          <w:color w:val="000000"/>
          <w:sz w:val="20"/>
        </w:rPr>
        <w:t>“</w:t>
      </w:r>
    </w:p>
    <w:p w:rsidR="00370958" w:rsidRDefault="00370958" w:rsidP="00F0797E">
      <w:pPr>
        <w:pStyle w:val="Textodstavce"/>
        <w:numPr>
          <w:ilvl w:val="0"/>
          <w:numId w:val="0"/>
        </w:numPr>
        <w:tabs>
          <w:tab w:val="num" w:pos="709"/>
          <w:tab w:val="num" w:pos="786"/>
          <w:tab w:val="num" w:pos="993"/>
          <w:tab w:val="num" w:pos="2520"/>
        </w:tabs>
        <w:spacing w:before="0" w:after="0"/>
        <w:contextualSpacing/>
        <w:rPr>
          <w:color w:val="000000"/>
          <w:sz w:val="20"/>
        </w:rPr>
      </w:pPr>
    </w:p>
    <w:p w:rsidR="00C536AC" w:rsidRDefault="00C536AC" w:rsidP="00F0797E">
      <w:pPr>
        <w:pStyle w:val="Textodstavce"/>
        <w:numPr>
          <w:ilvl w:val="0"/>
          <w:numId w:val="0"/>
        </w:numPr>
        <w:tabs>
          <w:tab w:val="num" w:pos="709"/>
          <w:tab w:val="num" w:pos="786"/>
          <w:tab w:val="num" w:pos="993"/>
          <w:tab w:val="num" w:pos="2520"/>
        </w:tabs>
        <w:spacing w:before="0" w:after="0"/>
        <w:contextualSpacing/>
        <w:rPr>
          <w:b/>
          <w:color w:val="000000"/>
          <w:szCs w:val="24"/>
        </w:rPr>
      </w:pPr>
      <w:r>
        <w:rPr>
          <w:b/>
          <w:color w:val="000000"/>
          <w:szCs w:val="24"/>
        </w:rPr>
        <w:t>e) Rozvahové účty</w:t>
      </w:r>
    </w:p>
    <w:p w:rsidR="00C536AC" w:rsidRDefault="00C536AC" w:rsidP="00F0797E">
      <w:pPr>
        <w:pStyle w:val="Textodstavce"/>
        <w:numPr>
          <w:ilvl w:val="0"/>
          <w:numId w:val="0"/>
        </w:numPr>
        <w:tabs>
          <w:tab w:val="num" w:pos="709"/>
          <w:tab w:val="num" w:pos="786"/>
          <w:tab w:val="num" w:pos="993"/>
          <w:tab w:val="num" w:pos="2520"/>
        </w:tabs>
        <w:spacing w:before="0" w:after="0"/>
        <w:contextualSpacing/>
        <w:rPr>
          <w:color w:val="000000"/>
          <w:sz w:val="20"/>
        </w:rPr>
      </w:pPr>
      <w:r>
        <w:rPr>
          <w:color w:val="000000"/>
          <w:sz w:val="20"/>
        </w:rPr>
        <w:t>V § 4 odst. 8 jsou definovány účty, které se vykazují s kladným nebo záporným znaménkem.</w:t>
      </w:r>
    </w:p>
    <w:p w:rsidR="00C536AC" w:rsidRPr="00C536AC" w:rsidRDefault="00C536AC" w:rsidP="00C536AC">
      <w:pPr>
        <w:pStyle w:val="Textodstavce"/>
        <w:numPr>
          <w:ilvl w:val="0"/>
          <w:numId w:val="0"/>
        </w:numPr>
        <w:tabs>
          <w:tab w:val="num" w:pos="786"/>
          <w:tab w:val="left" w:pos="2700"/>
        </w:tabs>
        <w:ind w:left="1" w:firstLine="425"/>
        <w:rPr>
          <w:b/>
          <w:sz w:val="20"/>
        </w:rPr>
      </w:pPr>
      <w:r w:rsidRPr="00C536AC">
        <w:rPr>
          <w:sz w:val="20"/>
        </w:rPr>
        <w:t xml:space="preserve">Hodnoty položek rozvahy ve všech sloupcích se k okamžiku sestavení mezitímní účetní závěrky vykazují podle zůstatků zjištěných na jednotlivých syntetických účtech směrné účtové osnovy buď s kladným, nebo se záporným znaménkem. </w:t>
      </w:r>
      <w:r w:rsidRPr="00C536AC">
        <w:rPr>
          <w:b/>
          <w:sz w:val="20"/>
        </w:rPr>
        <w:t xml:space="preserve">Hodnoty položek rozvahy ve všech sloupcích se k rozvahovému dni vykazují podle zůstatků zjištěných na jednotlivých syntetických účtech směrné účtové osnovy s kladným znaménkem, s výjimkou syntetických účtů 227, 319, 401, </w:t>
      </w:r>
      <w:r w:rsidRPr="00C536AC">
        <w:rPr>
          <w:b/>
          <w:color w:val="000000"/>
          <w:sz w:val="20"/>
        </w:rPr>
        <w:t xml:space="preserve">404, </w:t>
      </w:r>
      <w:r w:rsidRPr="00C536AC">
        <w:rPr>
          <w:b/>
          <w:sz w:val="20"/>
        </w:rPr>
        <w:t>405, 406, 407, 408 a syntetických účtů účtových skupin 43 a 49, které se vykazují buď s kladným, nebo se záporným znaménkem. K okamžiku sestavení mezitímní účetní závěrky nebo k rozvahovému dni dochází u syntetických účtů 336, 337, 338, 341, 342, 343, 344, 355 a 363 k porovnávání zůstatků stran MÁ DÁTI a DAL, a výsledný rozdíl vstupuje:</w:t>
      </w:r>
    </w:p>
    <w:p w:rsidR="00C536AC" w:rsidRPr="00C536AC" w:rsidRDefault="00C536AC" w:rsidP="00C536AC">
      <w:pPr>
        <w:pStyle w:val="Zkladntextodsazen"/>
        <w:ind w:left="284" w:hanging="284"/>
        <w:jc w:val="both"/>
        <w:rPr>
          <w:b/>
          <w:sz w:val="20"/>
          <w:szCs w:val="20"/>
        </w:rPr>
      </w:pPr>
      <w:r w:rsidRPr="00C536AC">
        <w:rPr>
          <w:b/>
          <w:sz w:val="20"/>
          <w:szCs w:val="20"/>
        </w:rPr>
        <w:t xml:space="preserve">a) </w:t>
      </w:r>
      <w:r w:rsidRPr="00C536AC">
        <w:rPr>
          <w:b/>
          <w:sz w:val="20"/>
          <w:szCs w:val="20"/>
        </w:rPr>
        <w:tab/>
        <w:t>do aktiv kladně, jestliže zůstatek syntetického účtu je na straně MÁ DÁTI,</w:t>
      </w:r>
    </w:p>
    <w:p w:rsidR="00C536AC" w:rsidRPr="00B9634F" w:rsidRDefault="00C536AC" w:rsidP="00C536AC">
      <w:pPr>
        <w:pStyle w:val="Zkladntextodsazen"/>
        <w:ind w:left="284" w:hanging="284"/>
        <w:jc w:val="both"/>
        <w:rPr>
          <w:b/>
          <w:sz w:val="24"/>
          <w:szCs w:val="24"/>
        </w:rPr>
      </w:pPr>
      <w:r w:rsidRPr="00C536AC">
        <w:rPr>
          <w:b/>
          <w:sz w:val="20"/>
          <w:szCs w:val="20"/>
        </w:rPr>
        <w:t xml:space="preserve">b) </w:t>
      </w:r>
      <w:r w:rsidRPr="00C536AC">
        <w:rPr>
          <w:b/>
          <w:sz w:val="20"/>
          <w:szCs w:val="20"/>
        </w:rPr>
        <w:tab/>
        <w:t>do pasiv kladně, jestliže zůstatek syntetického účtu je na straně DAL.</w:t>
      </w:r>
    </w:p>
    <w:p w:rsidR="00C536AC" w:rsidRPr="00C536AC" w:rsidRDefault="00C536AC" w:rsidP="00F0797E">
      <w:pPr>
        <w:pStyle w:val="Textodstavce"/>
        <w:numPr>
          <w:ilvl w:val="0"/>
          <w:numId w:val="0"/>
        </w:numPr>
        <w:tabs>
          <w:tab w:val="num" w:pos="709"/>
          <w:tab w:val="num" w:pos="786"/>
          <w:tab w:val="num" w:pos="993"/>
          <w:tab w:val="num" w:pos="2520"/>
        </w:tabs>
        <w:spacing w:before="0" w:after="0"/>
        <w:contextualSpacing/>
        <w:rPr>
          <w:color w:val="000000"/>
          <w:sz w:val="20"/>
        </w:rPr>
      </w:pPr>
    </w:p>
    <w:p w:rsidR="00370958" w:rsidRDefault="00C536AC" w:rsidP="0096306A">
      <w:pPr>
        <w:pStyle w:val="Textodstavce"/>
        <w:numPr>
          <w:ilvl w:val="0"/>
          <w:numId w:val="0"/>
        </w:numPr>
        <w:tabs>
          <w:tab w:val="num" w:pos="709"/>
          <w:tab w:val="num" w:pos="786"/>
          <w:tab w:val="num" w:pos="993"/>
          <w:tab w:val="num" w:pos="2520"/>
        </w:tabs>
        <w:spacing w:before="0" w:after="0" w:line="276" w:lineRule="auto"/>
        <w:contextualSpacing/>
        <w:rPr>
          <w:b/>
          <w:sz w:val="20"/>
        </w:rPr>
      </w:pPr>
      <w:r>
        <w:rPr>
          <w:b/>
          <w:szCs w:val="24"/>
        </w:rPr>
        <w:lastRenderedPageBreak/>
        <w:t>f</w:t>
      </w:r>
      <w:r w:rsidR="00370958">
        <w:rPr>
          <w:b/>
          <w:szCs w:val="24"/>
        </w:rPr>
        <w:t>) Ceniny</w:t>
      </w:r>
    </w:p>
    <w:p w:rsidR="00370958" w:rsidRDefault="00370958" w:rsidP="0096306A">
      <w:pPr>
        <w:pStyle w:val="Textodstavce"/>
        <w:numPr>
          <w:ilvl w:val="0"/>
          <w:numId w:val="0"/>
        </w:numPr>
        <w:tabs>
          <w:tab w:val="num" w:pos="709"/>
          <w:tab w:val="num" w:pos="786"/>
          <w:tab w:val="num" w:pos="993"/>
          <w:tab w:val="num" w:pos="2520"/>
        </w:tabs>
        <w:spacing w:before="0" w:after="0" w:line="276" w:lineRule="auto"/>
        <w:contextualSpacing/>
        <w:rPr>
          <w:sz w:val="20"/>
        </w:rPr>
      </w:pPr>
      <w:r>
        <w:rPr>
          <w:sz w:val="20"/>
        </w:rPr>
        <w:t>V § 25 odst. 3 písm. e) je definován účet Ceniny.</w:t>
      </w:r>
    </w:p>
    <w:p w:rsidR="00370958" w:rsidRPr="00370958" w:rsidRDefault="00370958" w:rsidP="0096306A">
      <w:pPr>
        <w:pStyle w:val="Textodstavce"/>
        <w:numPr>
          <w:ilvl w:val="0"/>
          <w:numId w:val="0"/>
        </w:numPr>
        <w:tabs>
          <w:tab w:val="num" w:pos="709"/>
          <w:tab w:val="num" w:pos="786"/>
          <w:tab w:val="num" w:pos="993"/>
          <w:tab w:val="num" w:pos="2520"/>
        </w:tabs>
        <w:spacing w:before="0" w:after="0" w:line="276" w:lineRule="auto"/>
        <w:contextualSpacing/>
        <w:rPr>
          <w:sz w:val="20"/>
        </w:rPr>
      </w:pPr>
      <w:proofErr w:type="gramStart"/>
      <w:r w:rsidRPr="00370958">
        <w:rPr>
          <w:sz w:val="20"/>
        </w:rPr>
        <w:t>„B.III</w:t>
      </w:r>
      <w:proofErr w:type="gramEnd"/>
      <w:r w:rsidRPr="00370958">
        <w:rPr>
          <w:sz w:val="20"/>
        </w:rPr>
        <w:t>.15. Ceniny“ obsahují druhy platebních prostředků nahrazujících peníze, za něž byla při nákupu uhrazena částka odpovídající jejich jmenovité hodnotě a které slouží k úhradě nebo potvrzují úhradu poplatků, zboží nebo služeb, přičemž se zejména jedná o poštovní známky, kolky, dálniční známky, předplacené jízdenky, telefonní karty, stravenky do provozoven veřejného stravování a dárkové poukázky, a to do okamžiku jejich spotřeby; ceninami nejsou zejména peníze, cenné papíry, stravenky do vlastního zařízení závodního stravování účetní jednotky, pokutové bloky a bankovní platební karty.“</w:t>
      </w:r>
    </w:p>
    <w:p w:rsidR="00F0797E" w:rsidRDefault="00F0797E" w:rsidP="0096306A">
      <w:pPr>
        <w:contextualSpacing/>
        <w:rPr>
          <w:rFonts w:ascii="Times New Roman" w:hAnsi="Times New Roman" w:cs="Times New Roman"/>
          <w:sz w:val="20"/>
          <w:szCs w:val="20"/>
        </w:rPr>
      </w:pPr>
    </w:p>
    <w:p w:rsidR="00C536AC" w:rsidRDefault="00C536AC" w:rsidP="0096306A">
      <w:pPr>
        <w:contextualSpacing/>
        <w:rPr>
          <w:rFonts w:ascii="Times New Roman" w:hAnsi="Times New Roman" w:cs="Times New Roman"/>
          <w:b/>
          <w:sz w:val="24"/>
          <w:szCs w:val="24"/>
        </w:rPr>
      </w:pPr>
      <w:r>
        <w:rPr>
          <w:rFonts w:ascii="Times New Roman" w:hAnsi="Times New Roman" w:cs="Times New Roman"/>
          <w:b/>
          <w:sz w:val="24"/>
          <w:szCs w:val="24"/>
        </w:rPr>
        <w:t>g) Účet 419 – Příspěvkové organizace</w:t>
      </w:r>
    </w:p>
    <w:p w:rsidR="00C536AC" w:rsidRDefault="00C603E6" w:rsidP="0096306A">
      <w:pPr>
        <w:contextualSpacing/>
        <w:rPr>
          <w:rFonts w:ascii="Times New Roman" w:hAnsi="Times New Roman" w:cs="Times New Roman"/>
          <w:sz w:val="20"/>
          <w:szCs w:val="20"/>
        </w:rPr>
      </w:pPr>
      <w:r>
        <w:rPr>
          <w:rFonts w:ascii="Times New Roman" w:hAnsi="Times New Roman" w:cs="Times New Roman"/>
          <w:sz w:val="20"/>
          <w:szCs w:val="20"/>
        </w:rPr>
        <w:t>Z náplně výkazu Rozvaha pro příspěvkové organizace vyplývá, že v roce 2014 již nelze používat účet 419.</w:t>
      </w:r>
    </w:p>
    <w:p w:rsidR="00C603E6" w:rsidRPr="00C536AC" w:rsidRDefault="00C603E6" w:rsidP="0096306A">
      <w:pPr>
        <w:contextualSpacing/>
        <w:rPr>
          <w:rFonts w:ascii="Times New Roman" w:hAnsi="Times New Roman" w:cs="Times New Roman"/>
          <w:sz w:val="20"/>
          <w:szCs w:val="20"/>
        </w:rPr>
      </w:pPr>
    </w:p>
    <w:p w:rsidR="00370958" w:rsidRDefault="00C603E6" w:rsidP="00D43C8A">
      <w:pPr>
        <w:contextualSpacing/>
        <w:rPr>
          <w:rFonts w:ascii="Times New Roman" w:hAnsi="Times New Roman" w:cs="Times New Roman"/>
          <w:b/>
          <w:sz w:val="24"/>
          <w:szCs w:val="24"/>
        </w:rPr>
      </w:pPr>
      <w:r>
        <w:rPr>
          <w:rFonts w:ascii="Times New Roman" w:hAnsi="Times New Roman" w:cs="Times New Roman"/>
          <w:b/>
          <w:sz w:val="24"/>
          <w:szCs w:val="24"/>
        </w:rPr>
        <w:t>h</w:t>
      </w:r>
      <w:r w:rsidR="00071172">
        <w:rPr>
          <w:rFonts w:ascii="Times New Roman" w:hAnsi="Times New Roman" w:cs="Times New Roman"/>
          <w:b/>
          <w:sz w:val="24"/>
          <w:szCs w:val="24"/>
        </w:rPr>
        <w:t>) Náklady z</w:t>
      </w:r>
      <w:r w:rsidR="00D76122">
        <w:rPr>
          <w:rFonts w:ascii="Times New Roman" w:hAnsi="Times New Roman" w:cs="Times New Roman"/>
          <w:b/>
          <w:sz w:val="24"/>
          <w:szCs w:val="24"/>
        </w:rPr>
        <w:t> </w:t>
      </w:r>
      <w:r w:rsidR="00071172">
        <w:rPr>
          <w:rFonts w:ascii="Times New Roman" w:hAnsi="Times New Roman" w:cs="Times New Roman"/>
          <w:b/>
          <w:sz w:val="24"/>
          <w:szCs w:val="24"/>
        </w:rPr>
        <w:t>činnosti</w:t>
      </w:r>
    </w:p>
    <w:p w:rsidR="00D76122" w:rsidRDefault="00D76122" w:rsidP="0096306A">
      <w:pPr>
        <w:pStyle w:val="Zkladntextodsazen"/>
        <w:spacing w:line="276" w:lineRule="auto"/>
        <w:ind w:left="284" w:hanging="284"/>
        <w:jc w:val="both"/>
        <w:rPr>
          <w:sz w:val="20"/>
          <w:szCs w:val="20"/>
        </w:rPr>
      </w:pPr>
      <w:r>
        <w:rPr>
          <w:sz w:val="20"/>
          <w:szCs w:val="20"/>
        </w:rPr>
        <w:t xml:space="preserve">501 – Obsahové vymezení - § 33 odst. 1 písm. a) </w:t>
      </w:r>
      <w:r w:rsidRPr="00D76122">
        <w:rPr>
          <w:sz w:val="20"/>
          <w:szCs w:val="20"/>
        </w:rPr>
        <w:t>„</w:t>
      </w:r>
      <w:proofErr w:type="gramStart"/>
      <w:r w:rsidRPr="00D76122">
        <w:rPr>
          <w:sz w:val="20"/>
          <w:szCs w:val="20"/>
        </w:rPr>
        <w:t>A.I.1.</w:t>
      </w:r>
      <w:proofErr w:type="gramEnd"/>
      <w:r w:rsidRPr="00D76122">
        <w:rPr>
          <w:sz w:val="20"/>
          <w:szCs w:val="20"/>
        </w:rPr>
        <w:t xml:space="preserve"> Spotřeba materiálu“ obsahuje zejména náklady na spotřebovaný materiál </w:t>
      </w:r>
      <w:r w:rsidRPr="00D76122">
        <w:rPr>
          <w:b/>
          <w:sz w:val="20"/>
          <w:szCs w:val="20"/>
        </w:rPr>
        <w:t>včetně nákladů ve výši ocenění jiného drobného dlouhodobého hmotného majetku nakoupeného, vytvořeného vlastní činností nebo bezúplatně nabytého od subjektů, které nejsou vybranými účetními jednotkami, který nesplňuje pouze podmínku dolní hranice pro vykazování v položce „</w:t>
      </w:r>
      <w:proofErr w:type="gramStart"/>
      <w:r w:rsidRPr="00D76122">
        <w:rPr>
          <w:b/>
          <w:sz w:val="20"/>
          <w:szCs w:val="20"/>
        </w:rPr>
        <w:t>A.II</w:t>
      </w:r>
      <w:proofErr w:type="gramEnd"/>
      <w:r w:rsidRPr="00D76122">
        <w:rPr>
          <w:b/>
          <w:sz w:val="20"/>
          <w:szCs w:val="20"/>
        </w:rPr>
        <w:t>.6. Drobný dlouhodobý hmotný majetek“ rozvahy</w:t>
      </w:r>
      <w:r w:rsidRPr="00D76122">
        <w:rPr>
          <w:sz w:val="20"/>
          <w:szCs w:val="20"/>
        </w:rPr>
        <w:t xml:space="preserve"> a náklady na úbytek zásob v rámci stanovených norem přiroz</w:t>
      </w:r>
      <w:r>
        <w:rPr>
          <w:sz w:val="20"/>
          <w:szCs w:val="20"/>
        </w:rPr>
        <w:t>ených úbytků.</w:t>
      </w:r>
    </w:p>
    <w:p w:rsidR="00D76122" w:rsidRDefault="00D76122" w:rsidP="0096306A">
      <w:pPr>
        <w:pStyle w:val="Zkladntextodsazen"/>
        <w:spacing w:line="276" w:lineRule="auto"/>
        <w:ind w:left="284" w:hanging="284"/>
        <w:jc w:val="both"/>
        <w:rPr>
          <w:sz w:val="20"/>
          <w:szCs w:val="20"/>
        </w:rPr>
      </w:pPr>
      <w:r>
        <w:rPr>
          <w:sz w:val="20"/>
          <w:szCs w:val="20"/>
        </w:rPr>
        <w:t xml:space="preserve">518 – Obsahové vymezení - § 33 odst. 1 písm. h) </w:t>
      </w:r>
      <w:r w:rsidRPr="00D76122">
        <w:rPr>
          <w:sz w:val="20"/>
          <w:szCs w:val="20"/>
        </w:rPr>
        <w:t>„</w:t>
      </w:r>
      <w:proofErr w:type="gramStart"/>
      <w:r w:rsidRPr="00D76122">
        <w:rPr>
          <w:sz w:val="20"/>
          <w:szCs w:val="20"/>
        </w:rPr>
        <w:t>A.I.12</w:t>
      </w:r>
      <w:proofErr w:type="gramEnd"/>
      <w:r w:rsidRPr="00D76122">
        <w:rPr>
          <w:sz w:val="20"/>
          <w:szCs w:val="20"/>
        </w:rPr>
        <w:t xml:space="preserve">. Ostatní služby“ obsahuje zejména náklady na </w:t>
      </w:r>
      <w:r w:rsidRPr="00D76122">
        <w:rPr>
          <w:b/>
          <w:sz w:val="20"/>
          <w:szCs w:val="20"/>
        </w:rPr>
        <w:t xml:space="preserve">služby poskytované bankou, spořitelním nebo úvěrním družstvem </w:t>
      </w:r>
      <w:r w:rsidRPr="00D76122">
        <w:rPr>
          <w:sz w:val="20"/>
          <w:szCs w:val="20"/>
        </w:rPr>
        <w:t>a další služby, které nemají charakter finančních nákladů, neuvedené v  položkách „</w:t>
      </w:r>
      <w:proofErr w:type="gramStart"/>
      <w:r w:rsidRPr="00D76122">
        <w:rPr>
          <w:sz w:val="20"/>
          <w:szCs w:val="20"/>
        </w:rPr>
        <w:t>A.I.8.</w:t>
      </w:r>
      <w:proofErr w:type="gramEnd"/>
      <w:r w:rsidRPr="00D76122">
        <w:rPr>
          <w:sz w:val="20"/>
          <w:szCs w:val="20"/>
        </w:rPr>
        <w:t xml:space="preserve"> Opravy a udržování“ až „</w:t>
      </w:r>
      <w:proofErr w:type="gramStart"/>
      <w:r w:rsidRPr="00D76122">
        <w:rPr>
          <w:sz w:val="20"/>
          <w:szCs w:val="20"/>
        </w:rPr>
        <w:t>A.I.11</w:t>
      </w:r>
      <w:proofErr w:type="gramEnd"/>
      <w:r w:rsidRPr="00D76122">
        <w:rPr>
          <w:sz w:val="20"/>
          <w:szCs w:val="20"/>
        </w:rPr>
        <w:t xml:space="preserve">. Aktivace </w:t>
      </w:r>
      <w:proofErr w:type="spellStart"/>
      <w:r w:rsidRPr="00D76122">
        <w:rPr>
          <w:sz w:val="20"/>
          <w:szCs w:val="20"/>
        </w:rPr>
        <w:t>vnitroorganizačních</w:t>
      </w:r>
      <w:proofErr w:type="spellEnd"/>
      <w:r w:rsidRPr="00D76122">
        <w:rPr>
          <w:sz w:val="20"/>
          <w:szCs w:val="20"/>
        </w:rPr>
        <w:t xml:space="preserve"> služeb“ </w:t>
      </w:r>
      <w:r w:rsidRPr="00D76122">
        <w:rPr>
          <w:b/>
          <w:sz w:val="20"/>
          <w:szCs w:val="20"/>
        </w:rPr>
        <w:t>včetně nákladů ve výši ocenění jiného drobného dlouhodobého nehmotného majetku nakoupeného, vytvořeného vlastní činností nebo bezúplatně nabytého od subjektů, které nejsou vybranými účetními jednotkami, který nesplňuje pouze podmínku dolní hranice pro vykazování v položce „</w:t>
      </w:r>
      <w:proofErr w:type="gramStart"/>
      <w:r w:rsidRPr="00D76122">
        <w:rPr>
          <w:b/>
          <w:sz w:val="20"/>
          <w:szCs w:val="20"/>
        </w:rPr>
        <w:t>A.I.5.</w:t>
      </w:r>
      <w:proofErr w:type="gramEnd"/>
      <w:r w:rsidRPr="00D76122">
        <w:rPr>
          <w:b/>
          <w:sz w:val="20"/>
          <w:szCs w:val="20"/>
        </w:rPr>
        <w:t xml:space="preserve"> Drobný dlouhodobý nehmotný majetek“ rozvahy</w:t>
      </w:r>
      <w:r w:rsidRPr="00D76122">
        <w:rPr>
          <w:sz w:val="20"/>
          <w:szCs w:val="20"/>
        </w:rPr>
        <w:t>.</w:t>
      </w:r>
    </w:p>
    <w:p w:rsidR="00D76122" w:rsidRDefault="00D76122" w:rsidP="0096306A">
      <w:pPr>
        <w:pStyle w:val="Zkladntextodsazen"/>
        <w:spacing w:line="276" w:lineRule="auto"/>
        <w:ind w:left="284" w:hanging="284"/>
        <w:jc w:val="both"/>
        <w:rPr>
          <w:b/>
          <w:sz w:val="24"/>
          <w:szCs w:val="24"/>
        </w:rPr>
      </w:pPr>
    </w:p>
    <w:p w:rsidR="00D76122" w:rsidRDefault="00C603E6" w:rsidP="0096306A">
      <w:pPr>
        <w:pStyle w:val="Zkladntextodsazen"/>
        <w:spacing w:line="276" w:lineRule="auto"/>
        <w:ind w:left="284" w:hanging="284"/>
        <w:jc w:val="both"/>
        <w:rPr>
          <w:b/>
          <w:sz w:val="24"/>
          <w:szCs w:val="24"/>
        </w:rPr>
      </w:pPr>
      <w:r>
        <w:rPr>
          <w:b/>
          <w:sz w:val="24"/>
          <w:szCs w:val="24"/>
        </w:rPr>
        <w:t>i</w:t>
      </w:r>
      <w:r w:rsidR="00D76122">
        <w:rPr>
          <w:b/>
          <w:sz w:val="24"/>
          <w:szCs w:val="24"/>
        </w:rPr>
        <w:t>) Výnosy z činnosti</w:t>
      </w:r>
    </w:p>
    <w:p w:rsidR="00D76122" w:rsidRDefault="00D76122" w:rsidP="0096306A">
      <w:pPr>
        <w:pStyle w:val="Zkladntextodsazen"/>
        <w:spacing w:line="276" w:lineRule="auto"/>
        <w:ind w:left="284" w:hanging="284"/>
        <w:jc w:val="both"/>
        <w:rPr>
          <w:sz w:val="20"/>
          <w:szCs w:val="20"/>
        </w:rPr>
      </w:pPr>
    </w:p>
    <w:p w:rsidR="00D76122" w:rsidRDefault="00D76122" w:rsidP="0096306A">
      <w:pPr>
        <w:pStyle w:val="Zkladntextodsazen"/>
        <w:spacing w:line="276" w:lineRule="auto"/>
        <w:ind w:left="284" w:hanging="284"/>
        <w:jc w:val="both"/>
        <w:rPr>
          <w:sz w:val="20"/>
          <w:szCs w:val="20"/>
        </w:rPr>
      </w:pPr>
      <w:r>
        <w:rPr>
          <w:sz w:val="20"/>
          <w:szCs w:val="20"/>
        </w:rPr>
        <w:t xml:space="preserve">603 – Výnosy z pronájmu - § 37 odst. 1 </w:t>
      </w:r>
      <w:proofErr w:type="gramStart"/>
      <w:r>
        <w:rPr>
          <w:sz w:val="20"/>
          <w:szCs w:val="20"/>
        </w:rPr>
        <w:t xml:space="preserve">písm. a) </w:t>
      </w:r>
      <w:r w:rsidRPr="00D76122">
        <w:rPr>
          <w:b/>
          <w:sz w:val="20"/>
          <w:szCs w:val="20"/>
        </w:rPr>
        <w:t>„B.I.3.</w:t>
      </w:r>
      <w:proofErr w:type="gramEnd"/>
      <w:r w:rsidRPr="00D76122">
        <w:rPr>
          <w:b/>
          <w:sz w:val="20"/>
          <w:szCs w:val="20"/>
        </w:rPr>
        <w:t xml:space="preserve"> Výnosy z pronájmu“ obsahuje výnosy z pronájmu a z pachtu majetku účetní jednotky</w:t>
      </w:r>
      <w:r>
        <w:rPr>
          <w:b/>
          <w:sz w:val="20"/>
          <w:szCs w:val="20"/>
        </w:rPr>
        <w:t xml:space="preserve">. </w:t>
      </w:r>
      <w:r>
        <w:rPr>
          <w:sz w:val="20"/>
          <w:szCs w:val="20"/>
        </w:rPr>
        <w:t>Tzn. pouze čistý pronájem.</w:t>
      </w:r>
    </w:p>
    <w:p w:rsidR="00D76122" w:rsidRPr="00D76122" w:rsidRDefault="00D76122" w:rsidP="0096306A">
      <w:pPr>
        <w:pStyle w:val="Zkladntextodsazen"/>
        <w:spacing w:line="276" w:lineRule="auto"/>
        <w:ind w:left="284" w:hanging="284"/>
        <w:jc w:val="both"/>
        <w:rPr>
          <w:sz w:val="20"/>
          <w:szCs w:val="20"/>
        </w:rPr>
      </w:pPr>
      <w:r>
        <w:rPr>
          <w:sz w:val="20"/>
          <w:szCs w:val="20"/>
        </w:rPr>
        <w:t xml:space="preserve">649 – Ostatní výnosy z činnosti - § 37 odst. 2 </w:t>
      </w:r>
      <w:proofErr w:type="gramStart"/>
      <w:r>
        <w:rPr>
          <w:sz w:val="20"/>
          <w:szCs w:val="20"/>
        </w:rPr>
        <w:t xml:space="preserve">písm. f) </w:t>
      </w:r>
      <w:r w:rsidRPr="00D76122">
        <w:rPr>
          <w:sz w:val="20"/>
          <w:szCs w:val="20"/>
        </w:rPr>
        <w:t>„B.I.17</w:t>
      </w:r>
      <w:proofErr w:type="gramEnd"/>
      <w:r w:rsidRPr="00D76122">
        <w:rPr>
          <w:sz w:val="20"/>
          <w:szCs w:val="20"/>
        </w:rPr>
        <w:t>. Ostatní výnosy z činnosti“ obsahuje zejména náhrady za manka a škody, přebytky na majetku s výjimkou přebytků dlouhodobého nehmotného a hmotného majetku</w:t>
      </w:r>
      <w:r w:rsidRPr="00D76122">
        <w:rPr>
          <w:b/>
          <w:sz w:val="20"/>
          <w:szCs w:val="20"/>
        </w:rPr>
        <w:t>, bezúplatné nabytí zásob a drobného dlouhodobého majetku od subjektu, který není vybranou účetní jednotkou,</w:t>
      </w:r>
      <w:r w:rsidRPr="00D76122">
        <w:rPr>
          <w:sz w:val="20"/>
          <w:szCs w:val="20"/>
        </w:rPr>
        <w:t xml:space="preserve"> a ostatní výnosy neuvedené v </w:t>
      </w:r>
      <w:proofErr w:type="gramStart"/>
      <w:r w:rsidRPr="00D76122">
        <w:rPr>
          <w:sz w:val="20"/>
          <w:szCs w:val="20"/>
        </w:rPr>
        <w:t>položkách „B.I.1.</w:t>
      </w:r>
      <w:proofErr w:type="gramEnd"/>
      <w:r w:rsidRPr="00D76122">
        <w:rPr>
          <w:sz w:val="20"/>
          <w:szCs w:val="20"/>
        </w:rPr>
        <w:t xml:space="preserve"> Výnosy z prodeje vlastních výrobků“ </w:t>
      </w:r>
      <w:proofErr w:type="gramStart"/>
      <w:r w:rsidRPr="00D76122">
        <w:rPr>
          <w:sz w:val="20"/>
          <w:szCs w:val="20"/>
        </w:rPr>
        <w:t>až „B.I.16</w:t>
      </w:r>
      <w:proofErr w:type="gramEnd"/>
      <w:r w:rsidRPr="00D76122">
        <w:rPr>
          <w:sz w:val="20"/>
          <w:szCs w:val="20"/>
        </w:rPr>
        <w:t>. Čerpání fondů.</w:t>
      </w:r>
    </w:p>
    <w:p w:rsidR="00D76122" w:rsidRDefault="00D76122" w:rsidP="0096306A">
      <w:pPr>
        <w:pStyle w:val="Zkladntextodsazen"/>
        <w:spacing w:line="276" w:lineRule="auto"/>
        <w:ind w:left="284" w:hanging="284"/>
        <w:jc w:val="both"/>
        <w:rPr>
          <w:sz w:val="20"/>
          <w:szCs w:val="20"/>
        </w:rPr>
      </w:pPr>
    </w:p>
    <w:p w:rsidR="00D76122" w:rsidRDefault="00C603E6" w:rsidP="0096306A">
      <w:pPr>
        <w:pStyle w:val="Zkladntextodsazen"/>
        <w:spacing w:line="276" w:lineRule="auto"/>
        <w:ind w:left="284" w:hanging="284"/>
        <w:jc w:val="both"/>
        <w:rPr>
          <w:b/>
          <w:sz w:val="24"/>
          <w:szCs w:val="24"/>
        </w:rPr>
      </w:pPr>
      <w:r>
        <w:rPr>
          <w:b/>
          <w:sz w:val="24"/>
          <w:szCs w:val="24"/>
        </w:rPr>
        <w:t>j</w:t>
      </w:r>
      <w:r w:rsidR="00E047CA">
        <w:rPr>
          <w:b/>
          <w:sz w:val="24"/>
          <w:szCs w:val="24"/>
        </w:rPr>
        <w:t xml:space="preserve">) </w:t>
      </w:r>
      <w:proofErr w:type="spellStart"/>
      <w:r w:rsidR="00E047CA">
        <w:rPr>
          <w:b/>
          <w:sz w:val="24"/>
          <w:szCs w:val="24"/>
        </w:rPr>
        <w:t>Podrozvaha</w:t>
      </w:r>
      <w:proofErr w:type="spellEnd"/>
    </w:p>
    <w:p w:rsidR="00E047CA" w:rsidRPr="00E047CA" w:rsidRDefault="00E047CA" w:rsidP="0096306A">
      <w:pPr>
        <w:pStyle w:val="Zkladntextodsazen"/>
        <w:spacing w:line="276" w:lineRule="auto"/>
        <w:ind w:left="284" w:hanging="284"/>
        <w:jc w:val="both"/>
        <w:rPr>
          <w:sz w:val="20"/>
          <w:szCs w:val="20"/>
        </w:rPr>
      </w:pPr>
      <w:r>
        <w:rPr>
          <w:sz w:val="20"/>
          <w:szCs w:val="20"/>
        </w:rPr>
        <w:t xml:space="preserve">V § 52 až § 54 dochází k novému vymezení obsahu jednotlivých </w:t>
      </w:r>
      <w:proofErr w:type="spellStart"/>
      <w:r>
        <w:rPr>
          <w:sz w:val="20"/>
          <w:szCs w:val="20"/>
        </w:rPr>
        <w:t>podrozvahových</w:t>
      </w:r>
      <w:proofErr w:type="spellEnd"/>
      <w:r>
        <w:rPr>
          <w:sz w:val="20"/>
          <w:szCs w:val="20"/>
        </w:rPr>
        <w:t xml:space="preserve"> účtů</w:t>
      </w:r>
    </w:p>
    <w:p w:rsidR="00E047CA" w:rsidRDefault="00E047CA" w:rsidP="0096306A">
      <w:pPr>
        <w:contextualSpacing/>
        <w:rPr>
          <w:rFonts w:ascii="Times New Roman" w:hAnsi="Times New Roman" w:cs="Times New Roman"/>
          <w:b/>
          <w:sz w:val="20"/>
          <w:szCs w:val="20"/>
        </w:rPr>
      </w:pPr>
      <w:r>
        <w:rPr>
          <w:rFonts w:ascii="Times New Roman" w:hAnsi="Times New Roman" w:cs="Times New Roman"/>
          <w:b/>
          <w:sz w:val="20"/>
          <w:szCs w:val="20"/>
        </w:rPr>
        <w:t>Oficiální převodový můstek nebyl vydán, níže je uveden pouze doporučený převodový můstek, který provedete k </w:t>
      </w:r>
      <w:proofErr w:type="gramStart"/>
      <w:r>
        <w:rPr>
          <w:rFonts w:ascii="Times New Roman" w:hAnsi="Times New Roman" w:cs="Times New Roman"/>
          <w:b/>
          <w:sz w:val="20"/>
          <w:szCs w:val="20"/>
        </w:rPr>
        <w:t>1.1.2014</w:t>
      </w:r>
      <w:proofErr w:type="gramEnd"/>
    </w:p>
    <w:p w:rsidR="0096306A" w:rsidRDefault="0096306A" w:rsidP="0096306A">
      <w:pPr>
        <w:contextualSpacing/>
        <w:rPr>
          <w:rFonts w:ascii="Times New Roman" w:hAnsi="Times New Roman" w:cs="Times New Roman"/>
          <w:b/>
          <w:sz w:val="20"/>
          <w:szCs w:val="20"/>
        </w:rPr>
      </w:pPr>
    </w:p>
    <w:tbl>
      <w:tblPr>
        <w:tblStyle w:val="Mkatabulky"/>
        <w:tblW w:w="0" w:type="auto"/>
        <w:tblLook w:val="04A0"/>
      </w:tblPr>
      <w:tblGrid>
        <w:gridCol w:w="817"/>
        <w:gridCol w:w="3789"/>
        <w:gridCol w:w="747"/>
        <w:gridCol w:w="3859"/>
      </w:tblGrid>
      <w:tr w:rsidR="00E047CA" w:rsidTr="00E047CA">
        <w:tc>
          <w:tcPr>
            <w:tcW w:w="817" w:type="dxa"/>
          </w:tcPr>
          <w:p w:rsidR="00E047CA" w:rsidRDefault="00E047CA" w:rsidP="00D43C8A">
            <w:pPr>
              <w:contextualSpacing/>
              <w:rPr>
                <w:rFonts w:ascii="Times New Roman" w:hAnsi="Times New Roman" w:cs="Times New Roman"/>
                <w:sz w:val="20"/>
                <w:szCs w:val="20"/>
              </w:rPr>
            </w:pPr>
            <w:r>
              <w:rPr>
                <w:rFonts w:ascii="Times New Roman" w:hAnsi="Times New Roman" w:cs="Times New Roman"/>
                <w:sz w:val="20"/>
                <w:szCs w:val="20"/>
              </w:rPr>
              <w:t>Rok 2013</w:t>
            </w:r>
          </w:p>
        </w:tc>
        <w:tc>
          <w:tcPr>
            <w:tcW w:w="3789" w:type="dxa"/>
          </w:tcPr>
          <w:p w:rsidR="00E047CA" w:rsidRDefault="00E047CA" w:rsidP="00D43C8A">
            <w:pPr>
              <w:contextualSpacing/>
              <w:rPr>
                <w:rFonts w:ascii="Times New Roman" w:hAnsi="Times New Roman" w:cs="Times New Roman"/>
                <w:sz w:val="20"/>
                <w:szCs w:val="20"/>
              </w:rPr>
            </w:pPr>
          </w:p>
        </w:tc>
        <w:tc>
          <w:tcPr>
            <w:tcW w:w="747" w:type="dxa"/>
          </w:tcPr>
          <w:p w:rsidR="00E047CA" w:rsidRDefault="00E047CA" w:rsidP="00D43C8A">
            <w:pPr>
              <w:contextualSpacing/>
              <w:rPr>
                <w:rFonts w:ascii="Times New Roman" w:hAnsi="Times New Roman" w:cs="Times New Roman"/>
                <w:sz w:val="20"/>
                <w:szCs w:val="20"/>
              </w:rPr>
            </w:pPr>
            <w:r>
              <w:rPr>
                <w:rFonts w:ascii="Times New Roman" w:hAnsi="Times New Roman" w:cs="Times New Roman"/>
                <w:sz w:val="20"/>
                <w:szCs w:val="20"/>
              </w:rPr>
              <w:t>Rok 2014</w:t>
            </w:r>
          </w:p>
        </w:tc>
        <w:tc>
          <w:tcPr>
            <w:tcW w:w="3859" w:type="dxa"/>
          </w:tcPr>
          <w:p w:rsidR="00E047CA" w:rsidRDefault="00E047CA" w:rsidP="00D43C8A">
            <w:pPr>
              <w:contextualSpacing/>
              <w:rPr>
                <w:rFonts w:ascii="Times New Roman" w:hAnsi="Times New Roman" w:cs="Times New Roman"/>
                <w:sz w:val="20"/>
                <w:szCs w:val="20"/>
              </w:rPr>
            </w:pPr>
            <w:r>
              <w:rPr>
                <w:rFonts w:ascii="Times New Roman" w:hAnsi="Times New Roman" w:cs="Times New Roman"/>
                <w:sz w:val="20"/>
                <w:szCs w:val="20"/>
              </w:rPr>
              <w:t>Název</w:t>
            </w:r>
          </w:p>
        </w:tc>
      </w:tr>
      <w:tr w:rsidR="001B4586" w:rsidTr="001B4586">
        <w:trPr>
          <w:trHeight w:val="194"/>
        </w:trPr>
        <w:tc>
          <w:tcPr>
            <w:tcW w:w="817" w:type="dxa"/>
            <w:vMerge w:val="restart"/>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961</w:t>
            </w:r>
          </w:p>
        </w:tc>
        <w:tc>
          <w:tcPr>
            <w:tcW w:w="3789" w:type="dxa"/>
            <w:vMerge w:val="restart"/>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 leasingových smluv</w:t>
            </w:r>
          </w:p>
        </w:tc>
        <w:tc>
          <w:tcPr>
            <w:tcW w:w="747" w:type="dxa"/>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961</w:t>
            </w:r>
          </w:p>
        </w:tc>
        <w:tc>
          <w:tcPr>
            <w:tcW w:w="3859" w:type="dxa"/>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 operativního leasingu</w:t>
            </w:r>
          </w:p>
        </w:tc>
      </w:tr>
      <w:tr w:rsidR="001B4586" w:rsidTr="00E047CA">
        <w:trPr>
          <w:trHeight w:val="194"/>
        </w:trPr>
        <w:tc>
          <w:tcPr>
            <w:tcW w:w="817" w:type="dxa"/>
            <w:vMerge/>
          </w:tcPr>
          <w:p w:rsidR="001B4586" w:rsidRDefault="001B4586" w:rsidP="00D43C8A">
            <w:pPr>
              <w:contextualSpacing/>
              <w:rPr>
                <w:rFonts w:ascii="Times New Roman" w:hAnsi="Times New Roman" w:cs="Times New Roman"/>
                <w:sz w:val="20"/>
                <w:szCs w:val="20"/>
              </w:rPr>
            </w:pPr>
          </w:p>
        </w:tc>
        <w:tc>
          <w:tcPr>
            <w:tcW w:w="3789" w:type="dxa"/>
            <w:vMerge/>
          </w:tcPr>
          <w:p w:rsidR="001B4586" w:rsidRDefault="001B4586" w:rsidP="00D43C8A">
            <w:pPr>
              <w:contextualSpacing/>
              <w:rPr>
                <w:rFonts w:ascii="Times New Roman" w:hAnsi="Times New Roman" w:cs="Times New Roman"/>
                <w:sz w:val="20"/>
                <w:szCs w:val="20"/>
              </w:rPr>
            </w:pPr>
          </w:p>
        </w:tc>
        <w:tc>
          <w:tcPr>
            <w:tcW w:w="747" w:type="dxa"/>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963</w:t>
            </w:r>
          </w:p>
        </w:tc>
        <w:tc>
          <w:tcPr>
            <w:tcW w:w="3859" w:type="dxa"/>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 finančního leasingu</w:t>
            </w:r>
          </w:p>
        </w:tc>
      </w:tr>
      <w:tr w:rsidR="001B4586" w:rsidTr="001B4586">
        <w:trPr>
          <w:trHeight w:val="194"/>
        </w:trPr>
        <w:tc>
          <w:tcPr>
            <w:tcW w:w="817" w:type="dxa"/>
            <w:vMerge w:val="restart"/>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962</w:t>
            </w:r>
          </w:p>
        </w:tc>
        <w:tc>
          <w:tcPr>
            <w:tcW w:w="3789" w:type="dxa"/>
            <w:vMerge w:val="restart"/>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 leasingových smluv</w:t>
            </w:r>
          </w:p>
        </w:tc>
        <w:tc>
          <w:tcPr>
            <w:tcW w:w="747" w:type="dxa"/>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962</w:t>
            </w:r>
          </w:p>
        </w:tc>
        <w:tc>
          <w:tcPr>
            <w:tcW w:w="3859" w:type="dxa"/>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 operativního leasingu</w:t>
            </w:r>
          </w:p>
        </w:tc>
      </w:tr>
      <w:tr w:rsidR="001B4586" w:rsidTr="00E047CA">
        <w:trPr>
          <w:trHeight w:val="194"/>
        </w:trPr>
        <w:tc>
          <w:tcPr>
            <w:tcW w:w="817" w:type="dxa"/>
            <w:vMerge/>
          </w:tcPr>
          <w:p w:rsidR="001B4586" w:rsidRDefault="001B4586" w:rsidP="00D43C8A">
            <w:pPr>
              <w:contextualSpacing/>
              <w:rPr>
                <w:rFonts w:ascii="Times New Roman" w:hAnsi="Times New Roman" w:cs="Times New Roman"/>
                <w:sz w:val="20"/>
                <w:szCs w:val="20"/>
              </w:rPr>
            </w:pPr>
          </w:p>
        </w:tc>
        <w:tc>
          <w:tcPr>
            <w:tcW w:w="3789" w:type="dxa"/>
            <w:vMerge/>
          </w:tcPr>
          <w:p w:rsidR="001B4586" w:rsidRDefault="001B4586" w:rsidP="00D43C8A">
            <w:pPr>
              <w:contextualSpacing/>
              <w:rPr>
                <w:rFonts w:ascii="Times New Roman" w:hAnsi="Times New Roman" w:cs="Times New Roman"/>
                <w:sz w:val="20"/>
                <w:szCs w:val="20"/>
              </w:rPr>
            </w:pPr>
          </w:p>
        </w:tc>
        <w:tc>
          <w:tcPr>
            <w:tcW w:w="747" w:type="dxa"/>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964</w:t>
            </w:r>
          </w:p>
        </w:tc>
        <w:tc>
          <w:tcPr>
            <w:tcW w:w="3859" w:type="dxa"/>
          </w:tcPr>
          <w:p w:rsidR="001B4586"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 finančního leasingu</w:t>
            </w:r>
          </w:p>
        </w:tc>
      </w:tr>
      <w:tr w:rsidR="00E047CA" w:rsidTr="00E047CA">
        <w:tc>
          <w:tcPr>
            <w:tcW w:w="817" w:type="dxa"/>
          </w:tcPr>
          <w:p w:rsidR="00E047CA"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lastRenderedPageBreak/>
              <w:t>963</w:t>
            </w:r>
          </w:p>
        </w:tc>
        <w:tc>
          <w:tcPr>
            <w:tcW w:w="3789" w:type="dxa"/>
          </w:tcPr>
          <w:p w:rsidR="00E047CA"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 důvodu úplatného užívání cizího majetku na základě jiného důvodu</w:t>
            </w:r>
          </w:p>
        </w:tc>
        <w:tc>
          <w:tcPr>
            <w:tcW w:w="747" w:type="dxa"/>
          </w:tcPr>
          <w:p w:rsidR="00E047CA"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967</w:t>
            </w:r>
          </w:p>
        </w:tc>
        <w:tc>
          <w:tcPr>
            <w:tcW w:w="3859" w:type="dxa"/>
          </w:tcPr>
          <w:p w:rsidR="00E047CA"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 důvodu užívání cizího majetku nebo jeho převzetí z jiných důvodů</w:t>
            </w:r>
          </w:p>
        </w:tc>
      </w:tr>
      <w:tr w:rsidR="00E047CA" w:rsidTr="00E047CA">
        <w:tc>
          <w:tcPr>
            <w:tcW w:w="817" w:type="dxa"/>
          </w:tcPr>
          <w:p w:rsidR="00E047CA" w:rsidRDefault="001B4586" w:rsidP="00D43C8A">
            <w:pPr>
              <w:contextualSpacing/>
              <w:rPr>
                <w:rFonts w:ascii="Times New Roman" w:hAnsi="Times New Roman" w:cs="Times New Roman"/>
                <w:sz w:val="20"/>
                <w:szCs w:val="20"/>
              </w:rPr>
            </w:pPr>
            <w:r>
              <w:rPr>
                <w:rFonts w:ascii="Times New Roman" w:hAnsi="Times New Roman" w:cs="Times New Roman"/>
                <w:sz w:val="20"/>
                <w:szCs w:val="20"/>
              </w:rPr>
              <w:t>964</w:t>
            </w:r>
          </w:p>
        </w:tc>
        <w:tc>
          <w:tcPr>
            <w:tcW w:w="3789" w:type="dxa"/>
          </w:tcPr>
          <w:p w:rsidR="00E047CA"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 důvodu úplatného užívání cizího majetku na základě jiného důvodu</w:t>
            </w:r>
          </w:p>
        </w:tc>
        <w:tc>
          <w:tcPr>
            <w:tcW w:w="747" w:type="dxa"/>
          </w:tcPr>
          <w:p w:rsidR="00E047CA"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968</w:t>
            </w:r>
          </w:p>
        </w:tc>
        <w:tc>
          <w:tcPr>
            <w:tcW w:w="3859" w:type="dxa"/>
          </w:tcPr>
          <w:p w:rsidR="00E047CA"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 důvodu užívání cizího majetku nebo jeho převzetí z jiných důvodů</w:t>
            </w:r>
          </w:p>
        </w:tc>
      </w:tr>
      <w:tr w:rsidR="00412687" w:rsidTr="00412687">
        <w:trPr>
          <w:trHeight w:val="194"/>
        </w:trPr>
        <w:tc>
          <w:tcPr>
            <w:tcW w:w="817" w:type="dxa"/>
            <w:vMerge w:val="restart"/>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981</w:t>
            </w:r>
          </w:p>
        </w:tc>
        <w:tc>
          <w:tcPr>
            <w:tcW w:w="3789" w:type="dxa"/>
            <w:vMerge w:val="restart"/>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 poskytnutých zajištění</w:t>
            </w:r>
          </w:p>
        </w:tc>
        <w:tc>
          <w:tcPr>
            <w:tcW w:w="747" w:type="dxa"/>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981</w:t>
            </w:r>
          </w:p>
        </w:tc>
        <w:tc>
          <w:tcPr>
            <w:tcW w:w="3859" w:type="dxa"/>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 poskytnutých garancí jednorázových</w:t>
            </w:r>
          </w:p>
        </w:tc>
      </w:tr>
      <w:tr w:rsidR="00412687" w:rsidTr="00E047CA">
        <w:trPr>
          <w:trHeight w:val="194"/>
        </w:trPr>
        <w:tc>
          <w:tcPr>
            <w:tcW w:w="817" w:type="dxa"/>
            <w:vMerge/>
          </w:tcPr>
          <w:p w:rsidR="00412687" w:rsidRDefault="00412687" w:rsidP="00D43C8A">
            <w:pPr>
              <w:contextualSpacing/>
              <w:rPr>
                <w:rFonts w:ascii="Times New Roman" w:hAnsi="Times New Roman" w:cs="Times New Roman"/>
                <w:sz w:val="20"/>
                <w:szCs w:val="20"/>
              </w:rPr>
            </w:pPr>
          </w:p>
        </w:tc>
        <w:tc>
          <w:tcPr>
            <w:tcW w:w="3789" w:type="dxa"/>
            <w:vMerge/>
          </w:tcPr>
          <w:p w:rsidR="00412687" w:rsidRDefault="00412687" w:rsidP="00D43C8A">
            <w:pPr>
              <w:contextualSpacing/>
              <w:rPr>
                <w:rFonts w:ascii="Times New Roman" w:hAnsi="Times New Roman" w:cs="Times New Roman"/>
                <w:sz w:val="20"/>
                <w:szCs w:val="20"/>
              </w:rPr>
            </w:pPr>
          </w:p>
        </w:tc>
        <w:tc>
          <w:tcPr>
            <w:tcW w:w="747" w:type="dxa"/>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983</w:t>
            </w:r>
          </w:p>
        </w:tc>
        <w:tc>
          <w:tcPr>
            <w:tcW w:w="3859" w:type="dxa"/>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 poskytnutých garancí ostatních</w:t>
            </w:r>
          </w:p>
        </w:tc>
      </w:tr>
      <w:tr w:rsidR="00412687" w:rsidTr="00412687">
        <w:trPr>
          <w:trHeight w:val="194"/>
        </w:trPr>
        <w:tc>
          <w:tcPr>
            <w:tcW w:w="817" w:type="dxa"/>
            <w:vMerge w:val="restart"/>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982</w:t>
            </w:r>
          </w:p>
        </w:tc>
        <w:tc>
          <w:tcPr>
            <w:tcW w:w="3789" w:type="dxa"/>
            <w:vMerge w:val="restart"/>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 poskytnutých zajištění</w:t>
            </w:r>
          </w:p>
        </w:tc>
        <w:tc>
          <w:tcPr>
            <w:tcW w:w="747" w:type="dxa"/>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982</w:t>
            </w:r>
          </w:p>
        </w:tc>
        <w:tc>
          <w:tcPr>
            <w:tcW w:w="3859" w:type="dxa"/>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 poskytnutých garancí jednorázových</w:t>
            </w:r>
          </w:p>
        </w:tc>
      </w:tr>
      <w:tr w:rsidR="00412687" w:rsidTr="00E047CA">
        <w:trPr>
          <w:trHeight w:val="194"/>
        </w:trPr>
        <w:tc>
          <w:tcPr>
            <w:tcW w:w="817" w:type="dxa"/>
            <w:vMerge/>
          </w:tcPr>
          <w:p w:rsidR="00412687" w:rsidRDefault="00412687" w:rsidP="00D43C8A">
            <w:pPr>
              <w:contextualSpacing/>
              <w:rPr>
                <w:rFonts w:ascii="Times New Roman" w:hAnsi="Times New Roman" w:cs="Times New Roman"/>
                <w:sz w:val="20"/>
                <w:szCs w:val="20"/>
              </w:rPr>
            </w:pPr>
          </w:p>
        </w:tc>
        <w:tc>
          <w:tcPr>
            <w:tcW w:w="3789" w:type="dxa"/>
            <w:vMerge/>
          </w:tcPr>
          <w:p w:rsidR="00412687" w:rsidRDefault="00412687" w:rsidP="00D43C8A">
            <w:pPr>
              <w:contextualSpacing/>
              <w:rPr>
                <w:rFonts w:ascii="Times New Roman" w:hAnsi="Times New Roman" w:cs="Times New Roman"/>
                <w:sz w:val="20"/>
                <w:szCs w:val="20"/>
              </w:rPr>
            </w:pPr>
          </w:p>
        </w:tc>
        <w:tc>
          <w:tcPr>
            <w:tcW w:w="747" w:type="dxa"/>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984</w:t>
            </w:r>
          </w:p>
        </w:tc>
        <w:tc>
          <w:tcPr>
            <w:tcW w:w="3859" w:type="dxa"/>
          </w:tcPr>
          <w:p w:rsidR="00412687"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 poskytnutých garancí ostatních</w:t>
            </w:r>
          </w:p>
        </w:tc>
      </w:tr>
      <w:tr w:rsidR="00E047CA" w:rsidTr="00E047CA">
        <w:tc>
          <w:tcPr>
            <w:tcW w:w="817" w:type="dxa"/>
          </w:tcPr>
          <w:p w:rsidR="00E047CA"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983</w:t>
            </w:r>
          </w:p>
        </w:tc>
        <w:tc>
          <w:tcPr>
            <w:tcW w:w="3789" w:type="dxa"/>
          </w:tcPr>
          <w:p w:rsidR="00E047CA"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ze soudních sporů, správních řízení a jiných řízení</w:t>
            </w:r>
          </w:p>
        </w:tc>
        <w:tc>
          <w:tcPr>
            <w:tcW w:w="747" w:type="dxa"/>
          </w:tcPr>
          <w:p w:rsidR="00E047CA"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985</w:t>
            </w:r>
          </w:p>
        </w:tc>
        <w:tc>
          <w:tcPr>
            <w:tcW w:w="3859" w:type="dxa"/>
          </w:tcPr>
          <w:p w:rsidR="00E047CA"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Krátkodobé podmíněné závazky ze soudních sporů, správních řízení a jiných řízení</w:t>
            </w:r>
          </w:p>
        </w:tc>
      </w:tr>
      <w:tr w:rsidR="00E047CA" w:rsidTr="00E047CA">
        <w:tc>
          <w:tcPr>
            <w:tcW w:w="817" w:type="dxa"/>
          </w:tcPr>
          <w:p w:rsidR="00E047CA"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984</w:t>
            </w:r>
          </w:p>
        </w:tc>
        <w:tc>
          <w:tcPr>
            <w:tcW w:w="3789" w:type="dxa"/>
          </w:tcPr>
          <w:p w:rsidR="00E047CA" w:rsidRDefault="00412687"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ze soudních sporů, správních řízení a jiných řízení</w:t>
            </w:r>
          </w:p>
        </w:tc>
        <w:tc>
          <w:tcPr>
            <w:tcW w:w="747" w:type="dxa"/>
          </w:tcPr>
          <w:p w:rsidR="00E047CA"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986</w:t>
            </w:r>
          </w:p>
        </w:tc>
        <w:tc>
          <w:tcPr>
            <w:tcW w:w="3859" w:type="dxa"/>
          </w:tcPr>
          <w:p w:rsidR="00E047CA"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Dlouhodobé podmíněné závazky ze soudních sporů, správních řízení a jiných řízení</w:t>
            </w:r>
          </w:p>
        </w:tc>
      </w:tr>
      <w:tr w:rsidR="00625937" w:rsidTr="00E047CA">
        <w:tc>
          <w:tcPr>
            <w:tcW w:w="817"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949</w:t>
            </w:r>
          </w:p>
        </w:tc>
        <w:tc>
          <w:tcPr>
            <w:tcW w:w="3789"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Ostatní krátkodobá podmíněná aktiva</w:t>
            </w:r>
          </w:p>
        </w:tc>
        <w:tc>
          <w:tcPr>
            <w:tcW w:w="747"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991</w:t>
            </w:r>
          </w:p>
        </w:tc>
        <w:tc>
          <w:tcPr>
            <w:tcW w:w="3859" w:type="dxa"/>
          </w:tcPr>
          <w:p w:rsidR="00625937" w:rsidRDefault="00625937" w:rsidP="005C1E7B">
            <w:pPr>
              <w:contextualSpacing/>
              <w:rPr>
                <w:rFonts w:ascii="Times New Roman" w:hAnsi="Times New Roman" w:cs="Times New Roman"/>
                <w:sz w:val="20"/>
                <w:szCs w:val="20"/>
              </w:rPr>
            </w:pPr>
            <w:r>
              <w:rPr>
                <w:rFonts w:ascii="Times New Roman" w:hAnsi="Times New Roman" w:cs="Times New Roman"/>
                <w:sz w:val="20"/>
                <w:szCs w:val="20"/>
              </w:rPr>
              <w:t>Ostatní krátkodobá podmíněná aktiva</w:t>
            </w:r>
          </w:p>
        </w:tc>
      </w:tr>
      <w:tr w:rsidR="00625937" w:rsidTr="00E047CA">
        <w:tc>
          <w:tcPr>
            <w:tcW w:w="817"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951</w:t>
            </w:r>
          </w:p>
        </w:tc>
        <w:tc>
          <w:tcPr>
            <w:tcW w:w="3789"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Ostatní dlouhodobá podmíněná aktiva</w:t>
            </w:r>
          </w:p>
        </w:tc>
        <w:tc>
          <w:tcPr>
            <w:tcW w:w="747"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992</w:t>
            </w:r>
          </w:p>
        </w:tc>
        <w:tc>
          <w:tcPr>
            <w:tcW w:w="3859" w:type="dxa"/>
          </w:tcPr>
          <w:p w:rsidR="00625937" w:rsidRDefault="00625937" w:rsidP="005C1E7B">
            <w:pPr>
              <w:contextualSpacing/>
              <w:rPr>
                <w:rFonts w:ascii="Times New Roman" w:hAnsi="Times New Roman" w:cs="Times New Roman"/>
                <w:sz w:val="20"/>
                <w:szCs w:val="20"/>
              </w:rPr>
            </w:pPr>
            <w:r>
              <w:rPr>
                <w:rFonts w:ascii="Times New Roman" w:hAnsi="Times New Roman" w:cs="Times New Roman"/>
                <w:sz w:val="20"/>
                <w:szCs w:val="20"/>
              </w:rPr>
              <w:t>Ostatní dlouhodobá podmíněná aktiva</w:t>
            </w:r>
          </w:p>
        </w:tc>
      </w:tr>
      <w:tr w:rsidR="00625937" w:rsidTr="00E047CA">
        <w:tc>
          <w:tcPr>
            <w:tcW w:w="817"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985</w:t>
            </w:r>
          </w:p>
        </w:tc>
        <w:tc>
          <w:tcPr>
            <w:tcW w:w="3789"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Ostatní krátkodobá podmíněná pasiva</w:t>
            </w:r>
          </w:p>
        </w:tc>
        <w:tc>
          <w:tcPr>
            <w:tcW w:w="747"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993</w:t>
            </w:r>
          </w:p>
        </w:tc>
        <w:tc>
          <w:tcPr>
            <w:tcW w:w="3859" w:type="dxa"/>
          </w:tcPr>
          <w:p w:rsidR="00625937" w:rsidRDefault="00625937" w:rsidP="005C1E7B">
            <w:pPr>
              <w:contextualSpacing/>
              <w:rPr>
                <w:rFonts w:ascii="Times New Roman" w:hAnsi="Times New Roman" w:cs="Times New Roman"/>
                <w:sz w:val="20"/>
                <w:szCs w:val="20"/>
              </w:rPr>
            </w:pPr>
            <w:r>
              <w:rPr>
                <w:rFonts w:ascii="Times New Roman" w:hAnsi="Times New Roman" w:cs="Times New Roman"/>
                <w:sz w:val="20"/>
                <w:szCs w:val="20"/>
              </w:rPr>
              <w:t>Ostatní krátkodobá podmíněná pasiva</w:t>
            </w:r>
          </w:p>
        </w:tc>
      </w:tr>
      <w:tr w:rsidR="00625937" w:rsidTr="00E047CA">
        <w:tc>
          <w:tcPr>
            <w:tcW w:w="817"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986</w:t>
            </w:r>
          </w:p>
        </w:tc>
        <w:tc>
          <w:tcPr>
            <w:tcW w:w="3789"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Ostatní dlouhodobá podmíněná pasiva</w:t>
            </w:r>
          </w:p>
        </w:tc>
        <w:tc>
          <w:tcPr>
            <w:tcW w:w="747" w:type="dxa"/>
          </w:tcPr>
          <w:p w:rsidR="00625937" w:rsidRDefault="00625937" w:rsidP="00D43C8A">
            <w:pPr>
              <w:contextualSpacing/>
              <w:rPr>
                <w:rFonts w:ascii="Times New Roman" w:hAnsi="Times New Roman" w:cs="Times New Roman"/>
                <w:sz w:val="20"/>
                <w:szCs w:val="20"/>
              </w:rPr>
            </w:pPr>
            <w:r>
              <w:rPr>
                <w:rFonts w:ascii="Times New Roman" w:hAnsi="Times New Roman" w:cs="Times New Roman"/>
                <w:sz w:val="20"/>
                <w:szCs w:val="20"/>
              </w:rPr>
              <w:t>994</w:t>
            </w:r>
          </w:p>
        </w:tc>
        <w:tc>
          <w:tcPr>
            <w:tcW w:w="3859" w:type="dxa"/>
          </w:tcPr>
          <w:p w:rsidR="00625937" w:rsidRDefault="00625937" w:rsidP="005C1E7B">
            <w:pPr>
              <w:contextualSpacing/>
              <w:rPr>
                <w:rFonts w:ascii="Times New Roman" w:hAnsi="Times New Roman" w:cs="Times New Roman"/>
                <w:sz w:val="20"/>
                <w:szCs w:val="20"/>
              </w:rPr>
            </w:pPr>
            <w:r>
              <w:rPr>
                <w:rFonts w:ascii="Times New Roman" w:hAnsi="Times New Roman" w:cs="Times New Roman"/>
                <w:sz w:val="20"/>
                <w:szCs w:val="20"/>
              </w:rPr>
              <w:t>Ostatní dlouhodobá podmíněná pasiva</w:t>
            </w:r>
          </w:p>
        </w:tc>
      </w:tr>
    </w:tbl>
    <w:p w:rsidR="0096306A" w:rsidRDefault="0096306A" w:rsidP="0096306A">
      <w:pPr>
        <w:spacing w:line="20" w:lineRule="atLeast"/>
        <w:contextualSpacing/>
        <w:rPr>
          <w:rFonts w:ascii="Times New Roman" w:hAnsi="Times New Roman" w:cs="Times New Roman"/>
          <w:b/>
          <w:sz w:val="24"/>
          <w:szCs w:val="24"/>
        </w:rPr>
      </w:pPr>
    </w:p>
    <w:p w:rsidR="00334ED1" w:rsidRDefault="00C603E6" w:rsidP="00EF4D4B">
      <w:pPr>
        <w:contextualSpacing/>
        <w:rPr>
          <w:rFonts w:ascii="Times New Roman" w:hAnsi="Times New Roman" w:cs="Times New Roman"/>
          <w:b/>
          <w:sz w:val="20"/>
          <w:szCs w:val="20"/>
        </w:rPr>
      </w:pPr>
      <w:r>
        <w:rPr>
          <w:rFonts w:ascii="Times New Roman" w:hAnsi="Times New Roman" w:cs="Times New Roman"/>
          <w:b/>
          <w:sz w:val="24"/>
          <w:szCs w:val="24"/>
        </w:rPr>
        <w:t>k</w:t>
      </w:r>
      <w:r w:rsidR="00625937">
        <w:rPr>
          <w:rFonts w:ascii="Times New Roman" w:hAnsi="Times New Roman" w:cs="Times New Roman"/>
          <w:b/>
          <w:sz w:val="24"/>
          <w:szCs w:val="24"/>
        </w:rPr>
        <w:t>) Nové obsahové vymezení části D Přílohy</w:t>
      </w:r>
    </w:p>
    <w:p w:rsidR="00334ED1" w:rsidRDefault="00334ED1" w:rsidP="00EF4D4B">
      <w:pPr>
        <w:contextualSpacing/>
        <w:rPr>
          <w:rFonts w:ascii="Times New Roman" w:hAnsi="Times New Roman" w:cs="Times New Roman"/>
          <w:sz w:val="20"/>
          <w:szCs w:val="20"/>
        </w:rPr>
      </w:pPr>
      <w:r>
        <w:rPr>
          <w:rFonts w:ascii="Times New Roman" w:hAnsi="Times New Roman" w:cs="Times New Roman"/>
          <w:sz w:val="20"/>
          <w:szCs w:val="20"/>
        </w:rPr>
        <w:t>Nově se v položkách oddílu D vykazuje:</w:t>
      </w:r>
    </w:p>
    <w:p w:rsidR="00334ED1" w:rsidRDefault="00083E86" w:rsidP="00EF4D4B">
      <w:pPr>
        <w:contextualSpacing/>
        <w:rPr>
          <w:rFonts w:ascii="Times New Roman" w:hAnsi="Times New Roman" w:cs="Times New Roman"/>
          <w:sz w:val="20"/>
          <w:szCs w:val="20"/>
        </w:rPr>
      </w:pPr>
      <w:r>
        <w:rPr>
          <w:rFonts w:ascii="Times New Roman" w:hAnsi="Times New Roman" w:cs="Times New Roman"/>
          <w:sz w:val="20"/>
          <w:szCs w:val="20"/>
        </w:rPr>
        <w:t>D. 1 – dosavadní</w:t>
      </w:r>
      <w:r w:rsidR="00334ED1">
        <w:rPr>
          <w:rFonts w:ascii="Times New Roman" w:hAnsi="Times New Roman" w:cs="Times New Roman"/>
          <w:sz w:val="20"/>
          <w:szCs w:val="20"/>
        </w:rPr>
        <w:t xml:space="preserve"> </w:t>
      </w:r>
      <w:r>
        <w:rPr>
          <w:rFonts w:ascii="Times New Roman" w:hAnsi="Times New Roman" w:cs="Times New Roman"/>
          <w:sz w:val="20"/>
          <w:szCs w:val="20"/>
        </w:rPr>
        <w:t>položka D. 5 – Počet</w:t>
      </w:r>
      <w:r w:rsidR="00334ED1">
        <w:rPr>
          <w:rFonts w:ascii="Times New Roman" w:hAnsi="Times New Roman" w:cs="Times New Roman"/>
          <w:sz w:val="20"/>
          <w:szCs w:val="20"/>
        </w:rPr>
        <w:t xml:space="preserve"> jednotlivých věcí a souborů majetku oceněných 1,- Kč nebo seznam tohoto majetku</w:t>
      </w:r>
    </w:p>
    <w:p w:rsidR="00334ED1" w:rsidRDefault="00083E86" w:rsidP="00EF4D4B">
      <w:pPr>
        <w:contextualSpacing/>
        <w:rPr>
          <w:rFonts w:ascii="Times New Roman" w:hAnsi="Times New Roman" w:cs="Times New Roman"/>
          <w:sz w:val="20"/>
          <w:szCs w:val="20"/>
        </w:rPr>
      </w:pPr>
      <w:r>
        <w:rPr>
          <w:rFonts w:ascii="Times New Roman" w:hAnsi="Times New Roman" w:cs="Times New Roman"/>
          <w:sz w:val="20"/>
          <w:szCs w:val="20"/>
        </w:rPr>
        <w:t>D. 2 – dosavadní</w:t>
      </w:r>
      <w:r w:rsidR="00F80A2A">
        <w:rPr>
          <w:rFonts w:ascii="Times New Roman" w:hAnsi="Times New Roman" w:cs="Times New Roman"/>
          <w:sz w:val="20"/>
          <w:szCs w:val="20"/>
        </w:rPr>
        <w:t xml:space="preserve"> </w:t>
      </w:r>
      <w:r>
        <w:rPr>
          <w:rFonts w:ascii="Times New Roman" w:hAnsi="Times New Roman" w:cs="Times New Roman"/>
          <w:sz w:val="20"/>
          <w:szCs w:val="20"/>
        </w:rPr>
        <w:t>položka D. 6 – Celková</w:t>
      </w:r>
      <w:r w:rsidR="00F80A2A">
        <w:rPr>
          <w:rFonts w:ascii="Times New Roman" w:hAnsi="Times New Roman" w:cs="Times New Roman"/>
          <w:sz w:val="20"/>
          <w:szCs w:val="20"/>
        </w:rPr>
        <w:t xml:space="preserve"> výměra lesních pozemků s lesním porostem – vykazuje se v m</w:t>
      </w:r>
      <w:r w:rsidR="00F80A2A">
        <w:rPr>
          <w:rFonts w:ascii="Times New Roman" w:hAnsi="Times New Roman" w:cs="Times New Roman"/>
          <w:sz w:val="20"/>
          <w:szCs w:val="20"/>
          <w:vertAlign w:val="superscript"/>
        </w:rPr>
        <w:t>2</w:t>
      </w:r>
      <w:r w:rsidR="00F80A2A">
        <w:rPr>
          <w:rFonts w:ascii="Times New Roman" w:hAnsi="Times New Roman" w:cs="Times New Roman"/>
          <w:sz w:val="20"/>
          <w:szCs w:val="20"/>
        </w:rPr>
        <w:t>. Uvádí se pouze v případě, že je výměra více než 10 ha</w:t>
      </w:r>
    </w:p>
    <w:p w:rsidR="00F80A2A" w:rsidRDefault="00083E86" w:rsidP="00EF4D4B">
      <w:pPr>
        <w:contextualSpacing/>
        <w:rPr>
          <w:rFonts w:ascii="Times New Roman" w:hAnsi="Times New Roman" w:cs="Times New Roman"/>
          <w:sz w:val="20"/>
          <w:szCs w:val="20"/>
        </w:rPr>
      </w:pPr>
      <w:r>
        <w:rPr>
          <w:rFonts w:ascii="Times New Roman" w:hAnsi="Times New Roman" w:cs="Times New Roman"/>
          <w:sz w:val="20"/>
          <w:szCs w:val="20"/>
        </w:rPr>
        <w:t>D. 3 – obdoba</w:t>
      </w:r>
      <w:r w:rsidR="00F80A2A">
        <w:rPr>
          <w:rFonts w:ascii="Times New Roman" w:hAnsi="Times New Roman" w:cs="Times New Roman"/>
          <w:sz w:val="20"/>
          <w:szCs w:val="20"/>
        </w:rPr>
        <w:t xml:space="preserve"> dosavadní </w:t>
      </w:r>
      <w:r>
        <w:rPr>
          <w:rFonts w:ascii="Times New Roman" w:hAnsi="Times New Roman" w:cs="Times New Roman"/>
          <w:sz w:val="20"/>
          <w:szCs w:val="20"/>
        </w:rPr>
        <w:t>položky D. 7 – Výše</w:t>
      </w:r>
      <w:r w:rsidR="00F80A2A">
        <w:rPr>
          <w:rFonts w:ascii="Times New Roman" w:hAnsi="Times New Roman" w:cs="Times New Roman"/>
          <w:sz w:val="20"/>
          <w:szCs w:val="20"/>
        </w:rPr>
        <w:t xml:space="preserve"> ocenění celkové výměry lesních pozemků s lesním porostem ve výši 57,- Kč/m</w:t>
      </w:r>
      <w:r w:rsidR="00F80A2A">
        <w:rPr>
          <w:rFonts w:ascii="Times New Roman" w:hAnsi="Times New Roman" w:cs="Times New Roman"/>
          <w:sz w:val="20"/>
          <w:szCs w:val="20"/>
          <w:vertAlign w:val="superscript"/>
        </w:rPr>
        <w:t>2</w:t>
      </w:r>
      <w:r w:rsidR="00F80A2A">
        <w:rPr>
          <w:rFonts w:ascii="Times New Roman" w:hAnsi="Times New Roman" w:cs="Times New Roman"/>
          <w:sz w:val="20"/>
          <w:szCs w:val="20"/>
        </w:rPr>
        <w:t xml:space="preserve"> – stanoví se jako součin celkové výměry uvedené v </w:t>
      </w:r>
      <w:r>
        <w:rPr>
          <w:rFonts w:ascii="Times New Roman" w:hAnsi="Times New Roman" w:cs="Times New Roman"/>
          <w:sz w:val="20"/>
          <w:szCs w:val="20"/>
        </w:rPr>
        <w:t>položce D. 2 a částky</w:t>
      </w:r>
      <w:r w:rsidR="00F80A2A">
        <w:rPr>
          <w:rFonts w:ascii="Times New Roman" w:hAnsi="Times New Roman" w:cs="Times New Roman"/>
          <w:sz w:val="20"/>
          <w:szCs w:val="20"/>
        </w:rPr>
        <w:t xml:space="preserve"> 57,- Kč/m</w:t>
      </w:r>
      <w:r w:rsidR="00F80A2A">
        <w:rPr>
          <w:rFonts w:ascii="Times New Roman" w:hAnsi="Times New Roman" w:cs="Times New Roman"/>
          <w:sz w:val="20"/>
          <w:szCs w:val="20"/>
          <w:vertAlign w:val="superscript"/>
        </w:rPr>
        <w:t>2</w:t>
      </w:r>
      <w:r w:rsidR="00F80A2A">
        <w:rPr>
          <w:rFonts w:ascii="Times New Roman" w:hAnsi="Times New Roman" w:cs="Times New Roman"/>
          <w:sz w:val="20"/>
          <w:szCs w:val="20"/>
        </w:rPr>
        <w:t>. Hodnota se uvádí v Kč</w:t>
      </w:r>
    </w:p>
    <w:p w:rsidR="00F80A2A" w:rsidRDefault="00083E86" w:rsidP="00EF4D4B">
      <w:pPr>
        <w:contextualSpacing/>
        <w:rPr>
          <w:rFonts w:ascii="Times New Roman" w:hAnsi="Times New Roman" w:cs="Times New Roman"/>
          <w:sz w:val="20"/>
          <w:szCs w:val="20"/>
        </w:rPr>
      </w:pPr>
      <w:r>
        <w:rPr>
          <w:rFonts w:ascii="Times New Roman" w:hAnsi="Times New Roman" w:cs="Times New Roman"/>
          <w:sz w:val="20"/>
          <w:szCs w:val="20"/>
        </w:rPr>
        <w:t>D. 4 – nově</w:t>
      </w:r>
      <w:r w:rsidR="00D14E08">
        <w:rPr>
          <w:rFonts w:ascii="Times New Roman" w:hAnsi="Times New Roman" w:cs="Times New Roman"/>
          <w:sz w:val="20"/>
          <w:szCs w:val="20"/>
        </w:rPr>
        <w:t xml:space="preserve"> – Výměra lesních pozemků s lesním porostem oceněných jiným způsobem – uvádí se v m</w:t>
      </w:r>
      <w:r w:rsidR="00D14E08">
        <w:rPr>
          <w:rFonts w:ascii="Times New Roman" w:hAnsi="Times New Roman" w:cs="Times New Roman"/>
          <w:sz w:val="20"/>
          <w:szCs w:val="20"/>
          <w:vertAlign w:val="superscript"/>
        </w:rPr>
        <w:t>2</w:t>
      </w:r>
      <w:r w:rsidR="00D14E08">
        <w:rPr>
          <w:rFonts w:ascii="Times New Roman" w:hAnsi="Times New Roman" w:cs="Times New Roman"/>
          <w:sz w:val="20"/>
          <w:szCs w:val="20"/>
        </w:rPr>
        <w:t>. Jen u výměry nad 10 ha lesa, a když máme k dispozici ocenění lesního porostu také jiným způsobem (např. znaleckým posudkem). Jinak se nevyplňuje</w:t>
      </w:r>
    </w:p>
    <w:p w:rsidR="00D14E08" w:rsidRDefault="00083E86" w:rsidP="00EF4D4B">
      <w:pPr>
        <w:contextualSpacing/>
        <w:rPr>
          <w:rFonts w:ascii="Times New Roman" w:hAnsi="Times New Roman" w:cs="Times New Roman"/>
          <w:sz w:val="20"/>
          <w:szCs w:val="20"/>
        </w:rPr>
      </w:pPr>
      <w:r>
        <w:rPr>
          <w:rFonts w:ascii="Times New Roman" w:hAnsi="Times New Roman" w:cs="Times New Roman"/>
          <w:sz w:val="20"/>
          <w:szCs w:val="20"/>
        </w:rPr>
        <w:t>D. 5 – nově</w:t>
      </w:r>
      <w:r w:rsidR="001E6D42">
        <w:rPr>
          <w:rFonts w:ascii="Times New Roman" w:hAnsi="Times New Roman" w:cs="Times New Roman"/>
          <w:sz w:val="20"/>
          <w:szCs w:val="20"/>
        </w:rPr>
        <w:t xml:space="preserve"> – Výše ocenění lesních pozemků s lesním porostem oceněných jiným způsobem – vykazuje se v Kč. Obsahuje výši ocenění pozemků uvedených v </w:t>
      </w:r>
      <w:r>
        <w:rPr>
          <w:rFonts w:ascii="Times New Roman" w:hAnsi="Times New Roman" w:cs="Times New Roman"/>
          <w:sz w:val="20"/>
          <w:szCs w:val="20"/>
        </w:rPr>
        <w:t>položce D. 4 a vychází</w:t>
      </w:r>
      <w:r w:rsidR="001E6D42">
        <w:rPr>
          <w:rFonts w:ascii="Times New Roman" w:hAnsi="Times New Roman" w:cs="Times New Roman"/>
          <w:sz w:val="20"/>
          <w:szCs w:val="20"/>
        </w:rPr>
        <w:t xml:space="preserve"> se z ocenění, které má účetní jednotka k dispozici</w:t>
      </w:r>
    </w:p>
    <w:p w:rsidR="001E6D42" w:rsidRDefault="00083E86" w:rsidP="00EF4D4B">
      <w:pPr>
        <w:contextualSpacing/>
        <w:rPr>
          <w:rFonts w:ascii="Times New Roman" w:hAnsi="Times New Roman" w:cs="Times New Roman"/>
          <w:sz w:val="20"/>
          <w:szCs w:val="20"/>
        </w:rPr>
      </w:pPr>
      <w:r>
        <w:rPr>
          <w:rFonts w:ascii="Times New Roman" w:hAnsi="Times New Roman" w:cs="Times New Roman"/>
          <w:sz w:val="20"/>
          <w:szCs w:val="20"/>
        </w:rPr>
        <w:t>D. 6 – nově – Průměrná výše ocenění výměry lesních pozemků s lesním porostem oceněných jiným způsobem – průměrná výše ocenění = D. 5 /D. 4. Hodnota se uvádí v Kč/m</w:t>
      </w:r>
      <w:r>
        <w:rPr>
          <w:rFonts w:ascii="Times New Roman" w:hAnsi="Times New Roman" w:cs="Times New Roman"/>
          <w:sz w:val="20"/>
          <w:szCs w:val="20"/>
          <w:vertAlign w:val="superscript"/>
        </w:rPr>
        <w:t>2</w:t>
      </w:r>
    </w:p>
    <w:p w:rsidR="00083E86" w:rsidRDefault="00083E86" w:rsidP="00EF4D4B">
      <w:pPr>
        <w:contextualSpacing/>
        <w:rPr>
          <w:rFonts w:ascii="Times New Roman" w:hAnsi="Times New Roman" w:cs="Times New Roman"/>
          <w:sz w:val="20"/>
          <w:szCs w:val="20"/>
        </w:rPr>
      </w:pPr>
      <w:r>
        <w:rPr>
          <w:rFonts w:ascii="Times New Roman" w:hAnsi="Times New Roman" w:cs="Times New Roman"/>
          <w:sz w:val="20"/>
          <w:szCs w:val="20"/>
        </w:rPr>
        <w:t>D. 7 – nově – Komentář k ocenění lesních pozemků jiným způsobem – vyplňuje se v případě, že jsou doplněny položky D. 4 až D. 6. Napíše způsob stanovení ocenění a důvod provedení tohoto ocenění.</w:t>
      </w:r>
    </w:p>
    <w:p w:rsidR="00083E86" w:rsidRDefault="00083E86" w:rsidP="00EF4D4B">
      <w:pPr>
        <w:spacing w:line="23" w:lineRule="atLeast"/>
        <w:contextualSpacing/>
        <w:rPr>
          <w:rFonts w:ascii="Times New Roman" w:hAnsi="Times New Roman" w:cs="Times New Roman"/>
          <w:sz w:val="20"/>
          <w:szCs w:val="20"/>
        </w:rPr>
      </w:pPr>
    </w:p>
    <w:p w:rsidR="00083E86" w:rsidRDefault="00C603E6" w:rsidP="00EF4D4B">
      <w:pPr>
        <w:spacing w:after="0"/>
        <w:contextualSpacing/>
        <w:rPr>
          <w:rFonts w:ascii="Times New Roman" w:hAnsi="Times New Roman" w:cs="Times New Roman"/>
          <w:b/>
          <w:sz w:val="24"/>
          <w:szCs w:val="24"/>
        </w:rPr>
      </w:pPr>
      <w:r>
        <w:rPr>
          <w:rFonts w:ascii="Times New Roman" w:hAnsi="Times New Roman" w:cs="Times New Roman"/>
          <w:b/>
          <w:sz w:val="24"/>
          <w:szCs w:val="24"/>
        </w:rPr>
        <w:t>l</w:t>
      </w:r>
      <w:r w:rsidR="0096306A">
        <w:rPr>
          <w:rFonts w:ascii="Times New Roman" w:hAnsi="Times New Roman" w:cs="Times New Roman"/>
          <w:b/>
          <w:sz w:val="24"/>
          <w:szCs w:val="24"/>
        </w:rPr>
        <w:t>) Nové obsahové vymezení části K Přílohy – Doplňující informace k poskytnutým garancím</w:t>
      </w:r>
    </w:p>
    <w:p w:rsidR="0096306A" w:rsidRPr="0096306A" w:rsidRDefault="0096306A" w:rsidP="00C70860">
      <w:pPr>
        <w:pStyle w:val="Zkladntextodsazen"/>
        <w:widowControl w:val="0"/>
        <w:spacing w:line="276" w:lineRule="auto"/>
        <w:contextualSpacing/>
        <w:jc w:val="both"/>
        <w:rPr>
          <w:sz w:val="20"/>
          <w:szCs w:val="20"/>
        </w:rPr>
      </w:pPr>
      <w:r w:rsidRPr="0096306A">
        <w:rPr>
          <w:sz w:val="20"/>
          <w:szCs w:val="20"/>
        </w:rPr>
        <w:t>doplňující informace k položkám „</w:t>
      </w:r>
      <w:proofErr w:type="gramStart"/>
      <w:r w:rsidRPr="0096306A">
        <w:rPr>
          <w:sz w:val="20"/>
          <w:szCs w:val="20"/>
        </w:rPr>
        <w:t>P.VII</w:t>
      </w:r>
      <w:proofErr w:type="gramEnd"/>
      <w:r w:rsidRPr="0096306A">
        <w:rPr>
          <w:sz w:val="20"/>
          <w:szCs w:val="20"/>
        </w:rPr>
        <w:t>.9. Krátkodobé podmíněné</w:t>
      </w:r>
      <w:r>
        <w:rPr>
          <w:sz w:val="20"/>
          <w:szCs w:val="20"/>
        </w:rPr>
        <w:t xml:space="preserve"> závazky z poskytnutých garancí </w:t>
      </w:r>
      <w:r w:rsidRPr="0096306A">
        <w:rPr>
          <w:sz w:val="20"/>
          <w:szCs w:val="20"/>
        </w:rPr>
        <w:t>jednorázových“, „</w:t>
      </w:r>
      <w:proofErr w:type="gramStart"/>
      <w:r w:rsidRPr="0096306A">
        <w:rPr>
          <w:sz w:val="20"/>
          <w:szCs w:val="20"/>
        </w:rPr>
        <w:t>P.VII</w:t>
      </w:r>
      <w:proofErr w:type="gramEnd"/>
      <w:r w:rsidRPr="0096306A">
        <w:rPr>
          <w:sz w:val="20"/>
          <w:szCs w:val="20"/>
        </w:rPr>
        <w:t>.10. Dlouhodobé podmíněné závazky z poskytnutých garancí jednorázových“, „</w:t>
      </w:r>
      <w:proofErr w:type="gramStart"/>
      <w:r w:rsidRPr="0096306A">
        <w:rPr>
          <w:sz w:val="20"/>
          <w:szCs w:val="20"/>
        </w:rPr>
        <w:t>P.VII</w:t>
      </w:r>
      <w:proofErr w:type="gramEnd"/>
      <w:r w:rsidRPr="0096306A">
        <w:rPr>
          <w:sz w:val="20"/>
          <w:szCs w:val="20"/>
        </w:rPr>
        <w:t>.11. Krátkodobé podmíněné závazky z poskytnutých garancí ostatních“ a „</w:t>
      </w:r>
      <w:proofErr w:type="gramStart"/>
      <w:r w:rsidRPr="0096306A">
        <w:rPr>
          <w:sz w:val="20"/>
          <w:szCs w:val="20"/>
        </w:rPr>
        <w:t>P.VII</w:t>
      </w:r>
      <w:proofErr w:type="gramEnd"/>
      <w:r w:rsidRPr="0096306A">
        <w:rPr>
          <w:sz w:val="20"/>
          <w:szCs w:val="20"/>
        </w:rPr>
        <w:t xml:space="preserve">.12. Dlouhodobé podmíněné závazky z poskytnutých garancí ostatních“ </w:t>
      </w:r>
      <w:proofErr w:type="spellStart"/>
      <w:r w:rsidRPr="0096306A">
        <w:rPr>
          <w:sz w:val="20"/>
          <w:szCs w:val="20"/>
        </w:rPr>
        <w:t>podrozvahy</w:t>
      </w:r>
      <w:proofErr w:type="spellEnd"/>
      <w:r w:rsidRPr="0096306A">
        <w:rPr>
          <w:sz w:val="20"/>
          <w:szCs w:val="20"/>
        </w:rPr>
        <w:t xml:space="preserve"> o poskytnutých garancích; garancemi se rozumí záruky, u kterých není možné spolehlivě odhadnout pravděpodobnost plnění za původního dlužníka, včetně písemného prohlášení ručitele poskytnuté věřiteli o tom, že uspokojí jeho pohledávku, jestliže dlužník nesplní svůj splatný závazek vůči věřiteli, přičemž věřitel je na základě prohlášení ručitele oprávněn domáhat se splnění pohledávky na ručiteli v případě, že dlužník nesplnil svůj splatný závazek, směnečného </w:t>
      </w:r>
      <w:proofErr w:type="spellStart"/>
      <w:r w:rsidRPr="0096306A">
        <w:rPr>
          <w:sz w:val="20"/>
          <w:szCs w:val="20"/>
        </w:rPr>
        <w:t>rukojemského</w:t>
      </w:r>
      <w:proofErr w:type="spellEnd"/>
      <w:r w:rsidRPr="0096306A">
        <w:rPr>
          <w:sz w:val="20"/>
          <w:szCs w:val="20"/>
        </w:rPr>
        <w:t xml:space="preserve"> prohlášení připojeného </w:t>
      </w:r>
      <w:r w:rsidRPr="0096306A">
        <w:rPr>
          <w:sz w:val="20"/>
          <w:szCs w:val="20"/>
        </w:rPr>
        <w:lastRenderedPageBreak/>
        <w:t>na směnku nebo směnečný opis, záruky vzniklé prohlášením v záruční listině o uspokojení věřitele do výše určité peněžní částky podle obsahu záruční listiny, jestliže určitá třetí osoba nesplní určitý závazek nebo budou splněny jiné podmínky stanovené v záruční listině, a záruky poskytnuté Českou republikou na základě zvláštního zákona, a to v tomto členění:</w:t>
      </w:r>
    </w:p>
    <w:p w:rsidR="0096306A" w:rsidRPr="0096306A" w:rsidRDefault="0096306A" w:rsidP="00C70860">
      <w:pPr>
        <w:widowControl w:val="0"/>
        <w:ind w:left="567"/>
        <w:contextualSpacing/>
        <w:rPr>
          <w:rFonts w:ascii="Times New Roman" w:hAnsi="Times New Roman" w:cs="Times New Roman"/>
          <w:sz w:val="20"/>
          <w:szCs w:val="20"/>
        </w:rPr>
      </w:pPr>
      <w:r w:rsidRPr="0096306A">
        <w:rPr>
          <w:rFonts w:ascii="Times New Roman" w:hAnsi="Times New Roman" w:cs="Times New Roman"/>
          <w:sz w:val="20"/>
          <w:szCs w:val="20"/>
        </w:rPr>
        <w:t>1. Poskytnuté garance jednorázové,</w:t>
      </w:r>
    </w:p>
    <w:p w:rsidR="0096306A" w:rsidRDefault="00EF4D4B" w:rsidP="00C70860">
      <w:pPr>
        <w:widowControl w:val="0"/>
        <w:ind w:left="567"/>
        <w:contextualSpacing/>
        <w:rPr>
          <w:rFonts w:ascii="Times New Roman" w:hAnsi="Times New Roman" w:cs="Times New Roman"/>
          <w:sz w:val="20"/>
          <w:szCs w:val="20"/>
        </w:rPr>
      </w:pPr>
      <w:r>
        <w:rPr>
          <w:rFonts w:ascii="Times New Roman" w:hAnsi="Times New Roman" w:cs="Times New Roman"/>
          <w:sz w:val="20"/>
          <w:szCs w:val="20"/>
        </w:rPr>
        <w:t>2. Poskytnuté garance ostatní.</w:t>
      </w:r>
    </w:p>
    <w:p w:rsidR="00C70860" w:rsidRDefault="00C70860" w:rsidP="00C70860">
      <w:pPr>
        <w:widowControl w:val="0"/>
        <w:contextualSpacing/>
        <w:rPr>
          <w:rFonts w:ascii="Times New Roman" w:hAnsi="Times New Roman" w:cs="Times New Roman"/>
          <w:sz w:val="20"/>
          <w:szCs w:val="20"/>
        </w:rPr>
      </w:pPr>
    </w:p>
    <w:p w:rsidR="00C70860" w:rsidRDefault="00C603E6" w:rsidP="00C70860">
      <w:pPr>
        <w:widowControl w:val="0"/>
        <w:spacing w:after="0"/>
        <w:contextualSpacing/>
        <w:rPr>
          <w:rFonts w:ascii="Times New Roman" w:hAnsi="Times New Roman" w:cs="Times New Roman"/>
          <w:b/>
          <w:sz w:val="24"/>
          <w:szCs w:val="24"/>
        </w:rPr>
      </w:pPr>
      <w:r>
        <w:rPr>
          <w:rFonts w:ascii="Times New Roman" w:hAnsi="Times New Roman" w:cs="Times New Roman"/>
          <w:b/>
          <w:sz w:val="24"/>
          <w:szCs w:val="24"/>
        </w:rPr>
        <w:t>m</w:t>
      </w:r>
      <w:r w:rsidR="00C70860">
        <w:rPr>
          <w:rFonts w:ascii="Times New Roman" w:hAnsi="Times New Roman" w:cs="Times New Roman"/>
          <w:b/>
          <w:sz w:val="24"/>
          <w:szCs w:val="24"/>
        </w:rPr>
        <w:t>) Nové obsahové vymezení části L Přílohy – Doplňující informace o projektech partnerství veřejného a soukromého sektoru</w:t>
      </w:r>
    </w:p>
    <w:p w:rsidR="00C70860" w:rsidRDefault="00C70860" w:rsidP="00C70860">
      <w:pPr>
        <w:pStyle w:val="Zkladntextodsazen"/>
        <w:spacing w:line="276" w:lineRule="auto"/>
        <w:contextualSpacing/>
        <w:jc w:val="both"/>
        <w:rPr>
          <w:sz w:val="20"/>
          <w:szCs w:val="20"/>
        </w:rPr>
      </w:pPr>
      <w:r w:rsidRPr="00C70860">
        <w:rPr>
          <w:sz w:val="20"/>
          <w:szCs w:val="20"/>
        </w:rPr>
        <w:t>doplňující informace o projektech partnerství veřejného a soukromého sektoru, kterými se pro účely této vyhlášky rozumí významné veřejné zakázky podle zákona upravujícího veřejné zakázky, jejichž předmětem je využití zdrojů a schopností subjektů soukromého sektoru při zajištění veřejné infrastruktury nebo veřejných služeb související s údržbou a provozem dlouhodobého nehmotného nebo dlouhodobého hmotného</w:t>
      </w:r>
      <w:r w:rsidRPr="001C72D7">
        <w:rPr>
          <w:b/>
          <w:sz w:val="24"/>
          <w:szCs w:val="24"/>
        </w:rPr>
        <w:t xml:space="preserve"> </w:t>
      </w:r>
      <w:r w:rsidRPr="00C70860">
        <w:rPr>
          <w:sz w:val="20"/>
          <w:szCs w:val="20"/>
        </w:rPr>
        <w:t>majetku</w:t>
      </w:r>
      <w:r>
        <w:rPr>
          <w:sz w:val="20"/>
          <w:szCs w:val="20"/>
        </w:rPr>
        <w:t>.</w:t>
      </w:r>
    </w:p>
    <w:p w:rsidR="00C70860" w:rsidRDefault="00C70860" w:rsidP="00C70860">
      <w:pPr>
        <w:pStyle w:val="Zkladntextodsazen"/>
        <w:spacing w:line="276" w:lineRule="auto"/>
        <w:ind w:left="284" w:hanging="284"/>
        <w:contextualSpacing/>
        <w:jc w:val="both"/>
        <w:rPr>
          <w:sz w:val="20"/>
          <w:szCs w:val="20"/>
        </w:rPr>
      </w:pPr>
    </w:p>
    <w:p w:rsidR="00C70860" w:rsidRDefault="00C603E6" w:rsidP="00C70860">
      <w:pPr>
        <w:pStyle w:val="Zkladntextodsazen"/>
        <w:spacing w:line="276" w:lineRule="auto"/>
        <w:contextualSpacing/>
        <w:jc w:val="both"/>
        <w:rPr>
          <w:b/>
          <w:sz w:val="24"/>
          <w:szCs w:val="24"/>
        </w:rPr>
      </w:pPr>
      <w:r>
        <w:rPr>
          <w:b/>
          <w:sz w:val="24"/>
          <w:szCs w:val="24"/>
        </w:rPr>
        <w:t>n</w:t>
      </w:r>
      <w:r w:rsidR="00C70860">
        <w:rPr>
          <w:b/>
          <w:sz w:val="24"/>
          <w:szCs w:val="24"/>
        </w:rPr>
        <w:t>) Nové obsahové vymezení části M Přílohy – Doplňující informace k příjmům a výdajům</w:t>
      </w:r>
    </w:p>
    <w:p w:rsidR="00C70860" w:rsidRPr="00595399" w:rsidRDefault="00595399" w:rsidP="00C70860">
      <w:pPr>
        <w:pStyle w:val="Zkladntextodsazen"/>
        <w:spacing w:line="276" w:lineRule="auto"/>
        <w:ind w:left="284" w:hanging="284"/>
        <w:contextualSpacing/>
        <w:jc w:val="both"/>
        <w:rPr>
          <w:b/>
          <w:color w:val="FF0000"/>
          <w:sz w:val="20"/>
          <w:szCs w:val="20"/>
        </w:rPr>
      </w:pPr>
      <w:r w:rsidRPr="00595399">
        <w:rPr>
          <w:b/>
          <w:color w:val="FF0000"/>
          <w:sz w:val="20"/>
          <w:szCs w:val="20"/>
        </w:rPr>
        <w:t>ÚSC a PO nevyplňuje.</w:t>
      </w:r>
    </w:p>
    <w:p w:rsidR="00C70860" w:rsidRDefault="00C70860" w:rsidP="00C70860">
      <w:pPr>
        <w:pStyle w:val="Zkladntextodsazen"/>
        <w:spacing w:line="276" w:lineRule="auto"/>
        <w:ind w:left="284" w:hanging="284"/>
        <w:contextualSpacing/>
        <w:jc w:val="both"/>
        <w:rPr>
          <w:sz w:val="20"/>
          <w:szCs w:val="20"/>
        </w:rPr>
      </w:pPr>
    </w:p>
    <w:p w:rsidR="00C70860" w:rsidRDefault="00C603E6" w:rsidP="00C70860">
      <w:pPr>
        <w:pStyle w:val="Zkladntextodsazen"/>
        <w:spacing w:line="276" w:lineRule="auto"/>
        <w:contextualSpacing/>
        <w:jc w:val="both"/>
        <w:rPr>
          <w:b/>
          <w:sz w:val="24"/>
          <w:szCs w:val="24"/>
        </w:rPr>
      </w:pPr>
      <w:r>
        <w:rPr>
          <w:b/>
          <w:sz w:val="24"/>
          <w:szCs w:val="24"/>
        </w:rPr>
        <w:t>o</w:t>
      </w:r>
      <w:r w:rsidR="00C70860">
        <w:rPr>
          <w:b/>
          <w:sz w:val="24"/>
          <w:szCs w:val="24"/>
        </w:rPr>
        <w:t>) Nové obsahové vymezení části N Přílohy – Doplňující informace k položce výkazu zisku a ztráty „</w:t>
      </w:r>
      <w:proofErr w:type="gramStart"/>
      <w:r w:rsidR="00C70860">
        <w:rPr>
          <w:b/>
          <w:sz w:val="24"/>
          <w:szCs w:val="24"/>
        </w:rPr>
        <w:t>A.I.13</w:t>
      </w:r>
      <w:proofErr w:type="gramEnd"/>
      <w:r w:rsidR="00C70860">
        <w:rPr>
          <w:b/>
          <w:sz w:val="24"/>
          <w:szCs w:val="24"/>
        </w:rPr>
        <w:t xml:space="preserve"> Mzdové náklady</w:t>
      </w:r>
    </w:p>
    <w:p w:rsidR="00595399" w:rsidRDefault="00595399" w:rsidP="00C70860">
      <w:pPr>
        <w:pStyle w:val="Zkladntextodsazen"/>
        <w:spacing w:line="276" w:lineRule="auto"/>
        <w:contextualSpacing/>
        <w:jc w:val="both"/>
        <w:rPr>
          <w:b/>
          <w:color w:val="FF0000"/>
          <w:sz w:val="20"/>
          <w:szCs w:val="20"/>
        </w:rPr>
      </w:pPr>
      <w:r w:rsidRPr="00595399">
        <w:rPr>
          <w:b/>
          <w:color w:val="FF0000"/>
          <w:sz w:val="20"/>
          <w:szCs w:val="20"/>
        </w:rPr>
        <w:t>Týká se ÚSC a svazku obcí. Netýká se PO.</w:t>
      </w:r>
    </w:p>
    <w:p w:rsidR="00A23413" w:rsidRPr="00A23413" w:rsidRDefault="00A23413" w:rsidP="00C70860">
      <w:pPr>
        <w:pStyle w:val="Zkladntextodsazen"/>
        <w:spacing w:line="276" w:lineRule="auto"/>
        <w:contextualSpacing/>
        <w:jc w:val="both"/>
        <w:rPr>
          <w:sz w:val="20"/>
          <w:szCs w:val="20"/>
        </w:rPr>
      </w:pPr>
      <w:r w:rsidRPr="00A23413">
        <w:rPr>
          <w:sz w:val="20"/>
          <w:szCs w:val="20"/>
        </w:rPr>
        <w:t xml:space="preserve">Data se uvádí od </w:t>
      </w:r>
      <w:proofErr w:type="gramStart"/>
      <w:r w:rsidRPr="00A23413">
        <w:rPr>
          <w:sz w:val="20"/>
          <w:szCs w:val="20"/>
        </w:rPr>
        <w:t>1.1. do</w:t>
      </w:r>
      <w:proofErr w:type="gramEnd"/>
      <w:r w:rsidRPr="00A23413">
        <w:rPr>
          <w:sz w:val="20"/>
          <w:szCs w:val="20"/>
        </w:rPr>
        <w:t xml:space="preserve"> konce vykazovaného období.</w:t>
      </w:r>
    </w:p>
    <w:p w:rsidR="00595399" w:rsidRPr="00A23413" w:rsidRDefault="00595399" w:rsidP="00C70860">
      <w:pPr>
        <w:pStyle w:val="Zkladntextodsazen"/>
        <w:spacing w:line="276" w:lineRule="auto"/>
        <w:contextualSpacing/>
        <w:jc w:val="both"/>
        <w:rPr>
          <w:sz w:val="24"/>
          <w:szCs w:val="24"/>
        </w:rPr>
      </w:pPr>
    </w:p>
    <w:p w:rsidR="006A4B5E" w:rsidRDefault="006A4B5E" w:rsidP="00C70860">
      <w:pPr>
        <w:pStyle w:val="Zkladntextodsazen"/>
        <w:spacing w:line="276" w:lineRule="auto"/>
        <w:contextualSpacing/>
        <w:jc w:val="both"/>
        <w:rPr>
          <w:sz w:val="20"/>
          <w:szCs w:val="20"/>
        </w:rPr>
      </w:pPr>
      <w:r>
        <w:rPr>
          <w:sz w:val="20"/>
          <w:szCs w:val="20"/>
        </w:rPr>
        <w:t xml:space="preserve">Při vyplňování se řiďte pokyny MF k vyplňování části N </w:t>
      </w:r>
      <w:hyperlink r:id="rId6" w:history="1">
        <w:r w:rsidRPr="002747BD">
          <w:rPr>
            <w:rStyle w:val="Hypertextovodkaz"/>
            <w:sz w:val="20"/>
            <w:szCs w:val="20"/>
          </w:rPr>
          <w:t>http://www.mfcr.cz/cs/legislativa/metodiky/2014/metodicky-pokyn-k-vyplneni-prilohy-c-5-c-17020</w:t>
        </w:r>
      </w:hyperlink>
    </w:p>
    <w:p w:rsidR="006A4B5E" w:rsidRDefault="006A4B5E" w:rsidP="00C70860">
      <w:pPr>
        <w:pStyle w:val="Zkladntextodsazen"/>
        <w:spacing w:line="276" w:lineRule="auto"/>
        <w:contextualSpacing/>
        <w:jc w:val="both"/>
        <w:rPr>
          <w:sz w:val="20"/>
          <w:szCs w:val="20"/>
        </w:rPr>
      </w:pPr>
    </w:p>
    <w:p w:rsidR="006A4B5E" w:rsidRDefault="00595399" w:rsidP="00C70860">
      <w:pPr>
        <w:pStyle w:val="Zkladntextodsazen"/>
        <w:spacing w:line="276" w:lineRule="auto"/>
        <w:contextualSpacing/>
        <w:jc w:val="both"/>
        <w:rPr>
          <w:sz w:val="20"/>
          <w:szCs w:val="20"/>
        </w:rPr>
      </w:pPr>
      <w:r>
        <w:rPr>
          <w:sz w:val="20"/>
          <w:szCs w:val="20"/>
        </w:rPr>
        <w:t>Minulé období sloupec 2,4 a 6 se v</w:t>
      </w:r>
      <w:r w:rsidR="00A23413">
        <w:rPr>
          <w:sz w:val="20"/>
          <w:szCs w:val="20"/>
        </w:rPr>
        <w:t> </w:t>
      </w:r>
      <w:r>
        <w:rPr>
          <w:sz w:val="20"/>
          <w:szCs w:val="20"/>
        </w:rPr>
        <w:t>roce</w:t>
      </w:r>
      <w:r w:rsidR="00A23413">
        <w:rPr>
          <w:sz w:val="20"/>
          <w:szCs w:val="20"/>
        </w:rPr>
        <w:t xml:space="preserve"> 2014</w:t>
      </w:r>
      <w:r>
        <w:rPr>
          <w:sz w:val="20"/>
          <w:szCs w:val="20"/>
        </w:rPr>
        <w:t xml:space="preserve"> nevyplňuje.</w:t>
      </w:r>
    </w:p>
    <w:p w:rsidR="006A4B5E" w:rsidRPr="00C70860" w:rsidRDefault="006A4B5E" w:rsidP="00C70860">
      <w:pPr>
        <w:pStyle w:val="Zkladntextodsazen"/>
        <w:spacing w:line="276" w:lineRule="auto"/>
        <w:contextualSpacing/>
        <w:jc w:val="both"/>
        <w:rPr>
          <w:sz w:val="20"/>
          <w:szCs w:val="20"/>
        </w:rPr>
      </w:pPr>
    </w:p>
    <w:p w:rsidR="00A23413" w:rsidRDefault="00A23413" w:rsidP="00A23413">
      <w:pPr>
        <w:pStyle w:val="Zkladntextodsazen"/>
        <w:spacing w:line="276" w:lineRule="auto"/>
        <w:ind w:left="284" w:hanging="284"/>
        <w:contextualSpacing/>
        <w:jc w:val="both"/>
        <w:rPr>
          <w:b/>
          <w:sz w:val="24"/>
          <w:szCs w:val="24"/>
        </w:rPr>
      </w:pPr>
      <w:r>
        <w:rPr>
          <w:b/>
          <w:sz w:val="24"/>
          <w:szCs w:val="24"/>
        </w:rPr>
        <w:t>Kontrola správnosti vyplnění přílohy N:</w:t>
      </w:r>
    </w:p>
    <w:p w:rsidR="00A23413" w:rsidRDefault="00F558C6" w:rsidP="00F558C6">
      <w:pPr>
        <w:pStyle w:val="Zkladntextodsazen"/>
        <w:spacing w:line="276" w:lineRule="auto"/>
        <w:ind w:left="284" w:hanging="284"/>
        <w:contextualSpacing/>
        <w:jc w:val="both"/>
        <w:rPr>
          <w:sz w:val="24"/>
          <w:szCs w:val="24"/>
        </w:rPr>
      </w:pPr>
      <w:r>
        <w:rPr>
          <w:sz w:val="24"/>
          <w:szCs w:val="24"/>
        </w:rPr>
        <w:t xml:space="preserve">    </w:t>
      </w:r>
      <w:r w:rsidR="00A23413">
        <w:rPr>
          <w:sz w:val="24"/>
          <w:szCs w:val="24"/>
        </w:rPr>
        <w:t xml:space="preserve">Suma účtů SÚ 521 ve výkazu zisku a ztrát </w:t>
      </w:r>
      <w:r w:rsidR="00A23413" w:rsidRPr="00F558C6">
        <w:rPr>
          <w:b/>
          <w:sz w:val="24"/>
          <w:szCs w:val="24"/>
        </w:rPr>
        <w:t>z hlavní činnosti</w:t>
      </w:r>
      <w:r w:rsidR="00F00788">
        <w:rPr>
          <w:b/>
          <w:sz w:val="24"/>
          <w:szCs w:val="24"/>
        </w:rPr>
        <w:t xml:space="preserve"> </w:t>
      </w:r>
      <w:r w:rsidRPr="00F558C6">
        <w:rPr>
          <w:b/>
          <w:sz w:val="24"/>
          <w:szCs w:val="24"/>
        </w:rPr>
        <w:t>i hospodářské činnosti</w:t>
      </w:r>
      <w:r>
        <w:rPr>
          <w:sz w:val="24"/>
          <w:szCs w:val="24"/>
        </w:rPr>
        <w:t xml:space="preserve"> odpovídá </w:t>
      </w:r>
      <w:r w:rsidR="00A23413">
        <w:rPr>
          <w:sz w:val="24"/>
          <w:szCs w:val="24"/>
        </w:rPr>
        <w:t xml:space="preserve">součtu položek </w:t>
      </w:r>
      <w:proofErr w:type="gramStart"/>
      <w:r w:rsidR="00A23413">
        <w:rPr>
          <w:sz w:val="24"/>
          <w:szCs w:val="24"/>
        </w:rPr>
        <w:t>N.II</w:t>
      </w:r>
      <w:proofErr w:type="gramEnd"/>
      <w:r w:rsidR="00A23413">
        <w:rPr>
          <w:sz w:val="24"/>
          <w:szCs w:val="24"/>
        </w:rPr>
        <w:t>.1</w:t>
      </w:r>
      <w:r>
        <w:rPr>
          <w:sz w:val="24"/>
          <w:szCs w:val="24"/>
        </w:rPr>
        <w:t xml:space="preserve"> </w:t>
      </w:r>
      <w:r w:rsidR="00A23413">
        <w:rPr>
          <w:sz w:val="24"/>
          <w:szCs w:val="24"/>
        </w:rPr>
        <w:t>až N.II.10. ve sloupci 1.</w:t>
      </w:r>
    </w:p>
    <w:p w:rsidR="00F00788" w:rsidRDefault="00F00788" w:rsidP="00F00788">
      <w:pPr>
        <w:pStyle w:val="Zkladntextodsazen"/>
        <w:spacing w:line="276" w:lineRule="auto"/>
        <w:contextualSpacing/>
        <w:jc w:val="both"/>
        <w:rPr>
          <w:sz w:val="24"/>
          <w:szCs w:val="24"/>
        </w:rPr>
      </w:pPr>
    </w:p>
    <w:p w:rsidR="00A23413" w:rsidRPr="00A23413" w:rsidRDefault="00A23413" w:rsidP="00F00788">
      <w:pPr>
        <w:pStyle w:val="Zkladntextodsazen"/>
        <w:spacing w:line="276" w:lineRule="auto"/>
        <w:contextualSpacing/>
        <w:jc w:val="both"/>
        <w:rPr>
          <w:b/>
          <w:sz w:val="22"/>
          <w:szCs w:val="22"/>
        </w:rPr>
      </w:pPr>
      <w:r w:rsidRPr="00A23413">
        <w:rPr>
          <w:b/>
          <w:sz w:val="22"/>
          <w:szCs w:val="22"/>
        </w:rPr>
        <w:t xml:space="preserve">Při vyplňování části N postupujte dle pokynů svého SW. </w:t>
      </w:r>
    </w:p>
    <w:p w:rsidR="00A23413" w:rsidRPr="00A23413" w:rsidRDefault="00A23413" w:rsidP="00A23413">
      <w:pPr>
        <w:pStyle w:val="Zkladntextodsazen"/>
        <w:spacing w:line="276" w:lineRule="auto"/>
        <w:ind w:left="284" w:hanging="284"/>
        <w:contextualSpacing/>
        <w:jc w:val="both"/>
        <w:rPr>
          <w:b/>
          <w:sz w:val="22"/>
          <w:szCs w:val="22"/>
        </w:rPr>
      </w:pPr>
      <w:r w:rsidRPr="00A23413">
        <w:rPr>
          <w:b/>
          <w:sz w:val="22"/>
          <w:szCs w:val="22"/>
        </w:rPr>
        <w:t>V případě, že Váš SW automaticky nevyplňuje přílohu N, postupujte dle pokynu MF ČR.</w:t>
      </w:r>
    </w:p>
    <w:p w:rsidR="00A23413" w:rsidRDefault="00A23413" w:rsidP="00A23413">
      <w:pPr>
        <w:pStyle w:val="Zkladntextodsazen"/>
        <w:spacing w:line="276" w:lineRule="auto"/>
        <w:ind w:left="284" w:hanging="284"/>
        <w:contextualSpacing/>
        <w:jc w:val="both"/>
        <w:rPr>
          <w:b/>
          <w:sz w:val="24"/>
          <w:szCs w:val="24"/>
        </w:rPr>
      </w:pPr>
    </w:p>
    <w:p w:rsidR="00F00788" w:rsidRPr="00F00788" w:rsidRDefault="00F00788" w:rsidP="00F00788">
      <w:pPr>
        <w:rPr>
          <w:b/>
          <w:color w:val="FF0000"/>
          <w:sz w:val="24"/>
          <w:szCs w:val="24"/>
        </w:rPr>
      </w:pPr>
      <w:r w:rsidRPr="00B85FA9">
        <w:rPr>
          <w:b/>
          <w:color w:val="FF0000"/>
          <w:sz w:val="24"/>
          <w:szCs w:val="24"/>
          <w:highlight w:val="yellow"/>
        </w:rPr>
        <w:t>Na základě infor</w:t>
      </w:r>
      <w:r w:rsidR="00333119">
        <w:rPr>
          <w:b/>
          <w:color w:val="FF0000"/>
          <w:sz w:val="24"/>
          <w:szCs w:val="24"/>
          <w:highlight w:val="yellow"/>
        </w:rPr>
        <w:t>mací obdržených z MF ČR</w:t>
      </w:r>
      <w:r w:rsidRPr="00B85FA9">
        <w:rPr>
          <w:b/>
          <w:color w:val="FF0000"/>
          <w:sz w:val="24"/>
          <w:szCs w:val="24"/>
          <w:highlight w:val="yellow"/>
        </w:rPr>
        <w:t xml:space="preserve"> doplňujeme následující:</w:t>
      </w:r>
    </w:p>
    <w:p w:rsidR="00F00788" w:rsidRDefault="00F00788" w:rsidP="00F00788">
      <w:r>
        <w:t>1. U mzdových nákladů (RP 5021), kde není stanoven rozsah v hodinách, je potřeba si zvolit způsob hodinového ohodnocení – nejlépe v interním pokynu.</w:t>
      </w:r>
    </w:p>
    <w:p w:rsidR="0047209E" w:rsidRDefault="00F00788" w:rsidP="00F00788">
      <w:r>
        <w:t>2. Uvolnění i neuvolnění zastupitelé se posuzují jako pracovníci mimo pracovní a služební poměr tzn., že se uvádějí do sloupce č. 5</w:t>
      </w:r>
      <w:r w:rsidR="0047209E">
        <w:t>.</w:t>
      </w:r>
    </w:p>
    <w:p w:rsidR="00F00788" w:rsidRDefault="00F00788" w:rsidP="00F00788">
      <w:r>
        <w:t xml:space="preserve">V případě, že </w:t>
      </w:r>
      <w:r w:rsidR="00333119">
        <w:t xml:space="preserve">obdržíme od MF </w:t>
      </w:r>
      <w:proofErr w:type="gramStart"/>
      <w:r w:rsidR="00333119">
        <w:t xml:space="preserve">ČR </w:t>
      </w:r>
      <w:r>
        <w:t xml:space="preserve"> další</w:t>
      </w:r>
      <w:proofErr w:type="gramEnd"/>
      <w:r>
        <w:t xml:space="preserve"> doplňující údaje, budeme Vás informovat.</w:t>
      </w:r>
    </w:p>
    <w:p w:rsidR="00A53F2A" w:rsidRDefault="00F00788" w:rsidP="00F00788">
      <w:pPr>
        <w:rPr>
          <w:rStyle w:val="Siln"/>
        </w:rPr>
      </w:pPr>
      <w:r>
        <w:rPr>
          <w:rStyle w:val="Siln"/>
        </w:rPr>
        <w:t xml:space="preserve">Odpovědi z MF ČR ze dne </w:t>
      </w:r>
      <w:proofErr w:type="gramStart"/>
      <w:r>
        <w:rPr>
          <w:rStyle w:val="Siln"/>
        </w:rPr>
        <w:t>22.4.2014</w:t>
      </w:r>
      <w:proofErr w:type="gramEnd"/>
    </w:p>
    <w:p w:rsidR="00F00788" w:rsidRPr="00F00788" w:rsidRDefault="00F00788" w:rsidP="00F00788">
      <w:pPr>
        <w:rPr>
          <w:b/>
          <w:bCs/>
        </w:rPr>
      </w:pPr>
      <w:r>
        <w:rPr>
          <w:rStyle w:val="Siln"/>
        </w:rPr>
        <w:t>Dotaz:</w:t>
      </w:r>
      <w:r>
        <w:t xml:space="preserve"> Dob</w:t>
      </w:r>
      <w:r w:rsidR="00B85FA9">
        <w:t xml:space="preserve">rý den, máme ještě jeden </w:t>
      </w:r>
      <w:proofErr w:type="gramStart"/>
      <w:r w:rsidR="00B85FA9">
        <w:t xml:space="preserve">dotaz </w:t>
      </w:r>
      <w:r>
        <w:t xml:space="preserve"> týkající</w:t>
      </w:r>
      <w:proofErr w:type="gramEnd"/>
      <w:r>
        <w:t xml:space="preserve"> se přílohy část N. - Mzdové náklady. Jak zadávat členy komisí (v souvislosti s volbami) - u těchto členů se nesledují hodiny, ale odměnu mají </w:t>
      </w:r>
      <w:r>
        <w:lastRenderedPageBreak/>
        <w:t>stanovenou dle směrnice o volbách. Obdobně někteří členové</w:t>
      </w:r>
      <w:r w:rsidR="00A53F2A">
        <w:rPr>
          <w:b/>
          <w:bCs/>
        </w:rPr>
        <w:t xml:space="preserve"> </w:t>
      </w:r>
      <w:r>
        <w:t xml:space="preserve">komisí (např. kulturní, sociální a podobné komise zřízené zastupitelstvem) nejsou odměňováni dle hodin, ale pouze paušálem. Jak zadávat tyto členy komisí? </w:t>
      </w:r>
    </w:p>
    <w:p w:rsidR="00F00788" w:rsidRDefault="00F00788" w:rsidP="00F00788">
      <w:r>
        <w:t> </w:t>
      </w:r>
      <w:r>
        <w:rPr>
          <w:rStyle w:val="Siln"/>
        </w:rPr>
        <w:t>Popis řešení:</w:t>
      </w:r>
      <w:r>
        <w:t xml:space="preserve"> Dobrý den, u mzdových nákladů, kde není stanoven rozsah v hodinách, je potřeba zvolit si způsob hodinového ohodnocení - nejlépe v interním pokynu. K tomu poslouží kvalifikovaný odhad, kolik hodin člen komise v rámci voleb pracuje (jsou to dva dny s předem určenými hodinami + doba na sčítání) nebo průměrný čas zasedání jednotlivých komisí. S pozdravem Ing. Dana Táborská oddělení Metodická podpora účetnictví státu odbor Účetnictví a audit, Ministerstvo financí ČR Letenská 15, 118 10 PRAHA 1 tel.: +420 257 042 452 </w:t>
      </w:r>
    </w:p>
    <w:p w:rsidR="00F00788" w:rsidRDefault="00F00788" w:rsidP="00F00788">
      <w:r>
        <w:rPr>
          <w:rStyle w:val="Siln"/>
        </w:rPr>
        <w:t>Dotaz:</w:t>
      </w:r>
      <w:r>
        <w:t xml:space="preserve"> První dotaz se týká dohod o provedení práce apod. - položka 5021. V případě, že je na obci kmenový zaměstnanec, který má zároveň dohodu o provedení práce. Měla by tato dohoda vstoupit do </w:t>
      </w:r>
      <w:proofErr w:type="gramStart"/>
      <w:r>
        <w:t>slupce</w:t>
      </w:r>
      <w:proofErr w:type="gramEnd"/>
      <w:r>
        <w:t xml:space="preserve"> 3 (podíl mzdových nákladů v pracovním a služebním poměru), ale co dělat pokud mají i zaměstnance na dohodu, kteří nejsou v pracovním poměru a měli by vstupovat do sloupce 5 (podíl mzdových nákladů mimo pracovní a služební poměr) - v programu to nelze ošetřit a v případě, ž</w:t>
      </w:r>
      <w:r w:rsidR="00B85FA9">
        <w:t>e zadáme do obou sloupců přepoč</w:t>
      </w:r>
      <w:r>
        <w:t xml:space="preserve">tený počet vycházejí nesmyslná čísla. Jak postupovat v tomto případě? </w:t>
      </w:r>
    </w:p>
    <w:p w:rsidR="00F00788" w:rsidRPr="004874AC" w:rsidRDefault="00F00788" w:rsidP="00F00788">
      <w:r>
        <w:t> </w:t>
      </w:r>
      <w:r>
        <w:rPr>
          <w:rStyle w:val="Siln"/>
        </w:rPr>
        <w:t>Popis řešení:</w:t>
      </w:r>
      <w:r>
        <w:t xml:space="preserve"> Dobrý den, po konzultaci s ing. </w:t>
      </w:r>
      <w:proofErr w:type="spellStart"/>
      <w:r>
        <w:t>Bernáthovou</w:t>
      </w:r>
      <w:proofErr w:type="spellEnd"/>
      <w:r>
        <w:t xml:space="preserve"> Vám zasíláme informace k příloze č. 5 části N: – v případě, že má účetní jednotka dohody uzavřeny nejen s těmi kdo nemají vůči jednotce pracovní nebo služební poměr, ale i s „kmenovými“ </w:t>
      </w:r>
      <w:proofErr w:type="gramStart"/>
      <w:r>
        <w:t>zaměstnanci ,</w:t>
      </w:r>
      <w:r w:rsidR="00B85FA9">
        <w:t xml:space="preserve"> </w:t>
      </w:r>
      <w:r>
        <w:t xml:space="preserve"> je</w:t>
      </w:r>
      <w:proofErr w:type="gramEnd"/>
      <w:r>
        <w:t xml:space="preserve"> potřeba uvést odděleně údaje do sloupců 3 a 5. Výpočet pak musí být proveden samostatně pro sloupec 3 [část nákladů uvedená ve sloupci 1 vztahující se k dohodám zaměstnanců děleno (počtem odpracovaných hodin „zaměstnanci“ za čtvrtletí/ pracovním fondem za první </w:t>
      </w:r>
      <w:proofErr w:type="gramStart"/>
      <w:r>
        <w:t xml:space="preserve">čtvrtletí )] a </w:t>
      </w:r>
      <w:r w:rsidR="00B85FA9">
        <w:t xml:space="preserve"> </w:t>
      </w:r>
      <w:r>
        <w:t>obdobně</w:t>
      </w:r>
      <w:proofErr w:type="gramEnd"/>
      <w:r w:rsidR="00B85FA9">
        <w:t xml:space="preserve"> </w:t>
      </w:r>
      <w:r>
        <w:t xml:space="preserve">pro sloupec 5. - např. osoba s uzavřenou DPČ za období 1-2/2014 – zahrne se do výpočtu v rámci řádku </w:t>
      </w:r>
      <w:proofErr w:type="gramStart"/>
      <w:r>
        <w:t>N.I.6.</w:t>
      </w:r>
      <w:r w:rsidR="00B85FA9">
        <w:t xml:space="preserve"> </w:t>
      </w:r>
      <w:r>
        <w:t xml:space="preserve"> sloupec</w:t>
      </w:r>
      <w:proofErr w:type="gramEnd"/>
      <w:r w:rsidR="00B85FA9">
        <w:t xml:space="preserve"> </w:t>
      </w:r>
      <w:r>
        <w:t xml:space="preserve"> 5 – </w:t>
      </w:r>
      <w:r w:rsidR="00B85FA9">
        <w:t xml:space="preserve"> </w:t>
      </w:r>
      <w:r>
        <w:t xml:space="preserve">posuzují se odpracované hodiny vůči fondu pracovní doby. Pokud ta samá osoba je od </w:t>
      </w:r>
      <w:proofErr w:type="gramStart"/>
      <w:r>
        <w:t>1.3.2014</w:t>
      </w:r>
      <w:proofErr w:type="gramEnd"/>
      <w:r>
        <w:t xml:space="preserve"> zaměstnanec a nemá dál DPČ – zahrne se v rámci výpočtu na řádku N.I.1. a jeho odpracované hodiny do výpočtu přepočteného stavu zaměstnanců. V případě, že daná osoba je od 1. 3. 2014 nejen zaměstnanec, ale i DPČ – zahrne se jeho náklad související se zaměstnaneckým poměrem na řádek N.I.1 (s počtem odpracovaných hodin v rámci PP)a náklady z DPČ do řádku N.I.6 (s počtem odpracovaných hodin na DPČ) ve sloupci 3</w:t>
      </w:r>
      <w:r w:rsidR="00B85FA9">
        <w:t xml:space="preserve"> </w:t>
      </w:r>
      <w:r>
        <w:t xml:space="preserve">– každý vztah se posuzuje samostatně - na řádku N.I.6 do sloupce 3 jsou zahrnování „kmenový“ </w:t>
      </w:r>
      <w:proofErr w:type="spellStart"/>
      <w:r>
        <w:t>dohodáři</w:t>
      </w:r>
      <w:proofErr w:type="spellEnd"/>
      <w:r>
        <w:t xml:space="preserve"> – to jsou pracovníci, kteří mají souběžně (i po část období) jak DPČ, tak pracovní </w:t>
      </w:r>
      <w:proofErr w:type="gramStart"/>
      <w:r>
        <w:t>poměr . Pokud</w:t>
      </w:r>
      <w:proofErr w:type="gramEnd"/>
      <w:r>
        <w:t xml:space="preserve"> má pracovník DPČ v období od 1. do 15. ledna a od 16. ledna je pouze zaměstnance, vykazuje se DPČ ve sloupci 5 jako ostatní „nekmenový“ pracovník. V případě, že má pracovník PP po dobu 1-20.1. a ve dnech </w:t>
      </w:r>
      <w:proofErr w:type="gramStart"/>
      <w:r>
        <w:t>15.-20.1</w:t>
      </w:r>
      <w:proofErr w:type="gramEnd"/>
      <w:r>
        <w:t>. i DPČ – patří podíl DPČ do sloupce 3. S pozdravem Ing. Dana Táborská oddělení Metodická podpora účetnictví státu odbor Účetnictví a audit, Ministerstvo financí ČR Letenská 15, 118 10 PRAHA 1 tel.: +420 257 042 452</w:t>
      </w:r>
    </w:p>
    <w:p w:rsidR="00F00788" w:rsidRDefault="00F00788" w:rsidP="00C70860">
      <w:pPr>
        <w:pStyle w:val="Zkladntextodsazen"/>
        <w:spacing w:line="276" w:lineRule="auto"/>
        <w:ind w:left="284" w:hanging="284"/>
        <w:contextualSpacing/>
        <w:jc w:val="both"/>
        <w:rPr>
          <w:b/>
          <w:sz w:val="24"/>
          <w:szCs w:val="24"/>
        </w:rPr>
        <w:sectPr w:rsidR="00F00788" w:rsidSect="00EA0357">
          <w:pgSz w:w="11906" w:h="16838"/>
          <w:pgMar w:top="1417" w:right="1417" w:bottom="1417" w:left="1417" w:header="708" w:footer="708" w:gutter="0"/>
          <w:cols w:space="708"/>
          <w:docGrid w:linePitch="360"/>
        </w:sectPr>
      </w:pPr>
    </w:p>
    <w:p w:rsidR="006A4B5E" w:rsidRDefault="006A4B5E" w:rsidP="00C70860">
      <w:pPr>
        <w:pStyle w:val="Zkladntextodsazen"/>
        <w:spacing w:line="276" w:lineRule="auto"/>
        <w:ind w:left="284" w:hanging="284"/>
        <w:contextualSpacing/>
        <w:jc w:val="both"/>
        <w:rPr>
          <w:b/>
          <w:sz w:val="24"/>
          <w:szCs w:val="24"/>
        </w:rPr>
        <w:sectPr w:rsidR="006A4B5E" w:rsidSect="00EA0357">
          <w:pgSz w:w="16838" w:h="11906" w:orient="landscape"/>
          <w:pgMar w:top="1418" w:right="1418" w:bottom="1418" w:left="1418" w:header="709" w:footer="709" w:gutter="0"/>
          <w:cols w:space="708"/>
          <w:docGrid w:linePitch="360"/>
        </w:sectPr>
      </w:pPr>
      <w:r>
        <w:rPr>
          <w:b/>
          <w:noProof/>
          <w:sz w:val="24"/>
          <w:szCs w:val="24"/>
        </w:rPr>
        <w:lastRenderedPageBreak/>
        <w:drawing>
          <wp:inline distT="0" distB="0" distL="0" distR="0">
            <wp:extent cx="8892540" cy="5839701"/>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92540" cy="5839701"/>
                    </a:xfrm>
                    <a:prstGeom prst="rect">
                      <a:avLst/>
                    </a:prstGeom>
                    <a:noFill/>
                    <a:ln w="9525">
                      <a:noFill/>
                      <a:miter lim="800000"/>
                      <a:headEnd/>
                      <a:tailEnd/>
                    </a:ln>
                  </pic:spPr>
                </pic:pic>
              </a:graphicData>
            </a:graphic>
          </wp:inline>
        </w:drawing>
      </w:r>
    </w:p>
    <w:p w:rsidR="006A4B5E" w:rsidRDefault="006A4B5E" w:rsidP="00C70860">
      <w:pPr>
        <w:pStyle w:val="Zkladntextodsazen"/>
        <w:spacing w:line="276" w:lineRule="auto"/>
        <w:ind w:left="284" w:hanging="284"/>
        <w:contextualSpacing/>
        <w:jc w:val="both"/>
        <w:rPr>
          <w:b/>
          <w:sz w:val="24"/>
          <w:szCs w:val="24"/>
        </w:rPr>
      </w:pPr>
      <w:r>
        <w:rPr>
          <w:b/>
          <w:noProof/>
          <w:sz w:val="24"/>
          <w:szCs w:val="24"/>
        </w:rPr>
        <w:lastRenderedPageBreak/>
        <w:drawing>
          <wp:inline distT="0" distB="0" distL="0" distR="0">
            <wp:extent cx="8892540" cy="6270099"/>
            <wp:effectExtent l="1905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92540" cy="6270099"/>
                    </a:xfrm>
                    <a:prstGeom prst="rect">
                      <a:avLst/>
                    </a:prstGeom>
                    <a:noFill/>
                    <a:ln w="9525">
                      <a:noFill/>
                      <a:miter lim="800000"/>
                      <a:headEnd/>
                      <a:tailEnd/>
                    </a:ln>
                  </pic:spPr>
                </pic:pic>
              </a:graphicData>
            </a:graphic>
          </wp:inline>
        </w:drawing>
      </w:r>
    </w:p>
    <w:p w:rsidR="006A4B5E" w:rsidRDefault="006A4B5E" w:rsidP="00C70860">
      <w:pPr>
        <w:pStyle w:val="Zkladntextodsazen"/>
        <w:spacing w:line="276" w:lineRule="auto"/>
        <w:ind w:left="284" w:hanging="284"/>
        <w:contextualSpacing/>
        <w:jc w:val="both"/>
        <w:rPr>
          <w:b/>
          <w:sz w:val="24"/>
          <w:szCs w:val="24"/>
        </w:rPr>
      </w:pPr>
      <w:r>
        <w:rPr>
          <w:b/>
          <w:noProof/>
          <w:sz w:val="24"/>
          <w:szCs w:val="24"/>
        </w:rPr>
        <w:lastRenderedPageBreak/>
        <w:drawing>
          <wp:inline distT="0" distB="0" distL="0" distR="0">
            <wp:extent cx="8892540" cy="6270099"/>
            <wp:effectExtent l="1905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892540" cy="6270099"/>
                    </a:xfrm>
                    <a:prstGeom prst="rect">
                      <a:avLst/>
                    </a:prstGeom>
                    <a:noFill/>
                    <a:ln w="9525">
                      <a:noFill/>
                      <a:miter lim="800000"/>
                      <a:headEnd/>
                      <a:tailEnd/>
                    </a:ln>
                  </pic:spPr>
                </pic:pic>
              </a:graphicData>
            </a:graphic>
          </wp:inline>
        </w:drawing>
      </w:r>
    </w:p>
    <w:p w:rsidR="006A4B5E" w:rsidRDefault="006A4B5E" w:rsidP="00C70860">
      <w:pPr>
        <w:pStyle w:val="Zkladntextodsazen"/>
        <w:spacing w:line="276" w:lineRule="auto"/>
        <w:ind w:left="284" w:hanging="284"/>
        <w:contextualSpacing/>
        <w:jc w:val="both"/>
        <w:rPr>
          <w:b/>
          <w:sz w:val="24"/>
          <w:szCs w:val="24"/>
        </w:rPr>
      </w:pPr>
      <w:r>
        <w:rPr>
          <w:b/>
          <w:noProof/>
          <w:sz w:val="24"/>
          <w:szCs w:val="24"/>
        </w:rPr>
        <w:lastRenderedPageBreak/>
        <w:drawing>
          <wp:inline distT="0" distB="0" distL="0" distR="0">
            <wp:extent cx="8671726" cy="539098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673664" cy="5392190"/>
                    </a:xfrm>
                    <a:prstGeom prst="rect">
                      <a:avLst/>
                    </a:prstGeom>
                    <a:noFill/>
                    <a:ln w="9525">
                      <a:noFill/>
                      <a:miter lim="800000"/>
                      <a:headEnd/>
                      <a:tailEnd/>
                    </a:ln>
                  </pic:spPr>
                </pic:pic>
              </a:graphicData>
            </a:graphic>
          </wp:inline>
        </w:drawing>
      </w:r>
    </w:p>
    <w:p w:rsidR="004874AC" w:rsidRDefault="004874AC" w:rsidP="004874AC">
      <w:pPr>
        <w:rPr>
          <w:rStyle w:val="Siln"/>
        </w:rPr>
      </w:pPr>
    </w:p>
    <w:sectPr w:rsidR="004874AC" w:rsidSect="006A4B5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9F4"/>
    <w:multiLevelType w:val="hybridMultilevel"/>
    <w:tmpl w:val="B792F5B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EFC7F8C"/>
    <w:multiLevelType w:val="hybridMultilevel"/>
    <w:tmpl w:val="FA461B6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5C6A20A4"/>
    <w:multiLevelType w:val="hybridMultilevel"/>
    <w:tmpl w:val="A9A813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0737623"/>
    <w:multiLevelType w:val="hybridMultilevel"/>
    <w:tmpl w:val="F12600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AAF1A1F"/>
    <w:multiLevelType w:val="multilevel"/>
    <w:tmpl w:val="95E05948"/>
    <w:lvl w:ilvl="0">
      <w:start w:val="1"/>
      <w:numFmt w:val="decimal"/>
      <w:pStyle w:val="Textodstavce"/>
      <w:isLgl/>
      <w:lvlText w:val="(%1)"/>
      <w:lvlJc w:val="left"/>
      <w:pPr>
        <w:tabs>
          <w:tab w:val="num" w:pos="785"/>
        </w:tabs>
        <w:ind w:left="0" w:firstLine="425"/>
      </w:pPr>
      <w:rPr>
        <w:strike/>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2"/>
  </w:num>
  <w:num w:numId="2">
    <w:abstractNumId w:val="1"/>
  </w:num>
  <w:num w:numId="3">
    <w:abstractNumId w:val="0"/>
  </w:num>
  <w:num w:numId="4">
    <w:abstractNumId w:val="3"/>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0"/>
  <w:hyphenationZone w:val="425"/>
  <w:drawingGridHorizontalSpacing w:val="110"/>
  <w:displayHorizontalDrawingGridEvery w:val="2"/>
  <w:characterSpacingControl w:val="doNotCompress"/>
  <w:compat/>
  <w:rsids>
    <w:rsidRoot w:val="00A42F61"/>
    <w:rsid w:val="000046D9"/>
    <w:rsid w:val="00071172"/>
    <w:rsid w:val="00083E86"/>
    <w:rsid w:val="000874D9"/>
    <w:rsid w:val="00102768"/>
    <w:rsid w:val="001932B9"/>
    <w:rsid w:val="001B4586"/>
    <w:rsid w:val="001E6D42"/>
    <w:rsid w:val="0026169C"/>
    <w:rsid w:val="002924F8"/>
    <w:rsid w:val="002B1C95"/>
    <w:rsid w:val="00333119"/>
    <w:rsid w:val="003346CB"/>
    <w:rsid w:val="00334ED1"/>
    <w:rsid w:val="00370958"/>
    <w:rsid w:val="00412687"/>
    <w:rsid w:val="0047209E"/>
    <w:rsid w:val="004874AC"/>
    <w:rsid w:val="004A4852"/>
    <w:rsid w:val="00554B16"/>
    <w:rsid w:val="00560704"/>
    <w:rsid w:val="00595399"/>
    <w:rsid w:val="0061545D"/>
    <w:rsid w:val="00625937"/>
    <w:rsid w:val="006366D4"/>
    <w:rsid w:val="006A4B5E"/>
    <w:rsid w:val="006D3001"/>
    <w:rsid w:val="00821810"/>
    <w:rsid w:val="00933980"/>
    <w:rsid w:val="0096306A"/>
    <w:rsid w:val="009B708A"/>
    <w:rsid w:val="00A23413"/>
    <w:rsid w:val="00A42F61"/>
    <w:rsid w:val="00A53F2A"/>
    <w:rsid w:val="00B85FA9"/>
    <w:rsid w:val="00C536AC"/>
    <w:rsid w:val="00C603E6"/>
    <w:rsid w:val="00C70860"/>
    <w:rsid w:val="00C97DA2"/>
    <w:rsid w:val="00CC3177"/>
    <w:rsid w:val="00CF56EE"/>
    <w:rsid w:val="00D14E08"/>
    <w:rsid w:val="00D43C8A"/>
    <w:rsid w:val="00D46D74"/>
    <w:rsid w:val="00D76122"/>
    <w:rsid w:val="00D77E3F"/>
    <w:rsid w:val="00DA602C"/>
    <w:rsid w:val="00E047CA"/>
    <w:rsid w:val="00EA0357"/>
    <w:rsid w:val="00ED513A"/>
    <w:rsid w:val="00EF4D4B"/>
    <w:rsid w:val="00F00788"/>
    <w:rsid w:val="00F0797E"/>
    <w:rsid w:val="00F165B6"/>
    <w:rsid w:val="00F558C6"/>
    <w:rsid w:val="00F80A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001"/>
  </w:style>
  <w:style w:type="paragraph" w:styleId="Nadpis3">
    <w:name w:val="heading 3"/>
    <w:basedOn w:val="Normln"/>
    <w:link w:val="Nadpis3Char"/>
    <w:uiPriority w:val="9"/>
    <w:qFormat/>
    <w:rsid w:val="00A42F6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42F61"/>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DA602C"/>
    <w:pPr>
      <w:ind w:left="720"/>
      <w:contextualSpacing/>
    </w:pPr>
  </w:style>
  <w:style w:type="table" w:styleId="Mkatabulky">
    <w:name w:val="Table Grid"/>
    <w:basedOn w:val="Normlntabulka"/>
    <w:uiPriority w:val="59"/>
    <w:rsid w:val="00C97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
    <w:name w:val="Text bodu"/>
    <w:basedOn w:val="Normln"/>
    <w:rsid w:val="00F0797E"/>
    <w:pPr>
      <w:numPr>
        <w:ilvl w:val="2"/>
        <w:numId w:val="5"/>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0797E"/>
    <w:pPr>
      <w:numPr>
        <w:ilvl w:val="1"/>
        <w:numId w:val="5"/>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F0797E"/>
    <w:pPr>
      <w:numPr>
        <w:numId w:val="5"/>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odstavceChar">
    <w:name w:val="Text odstavce Char"/>
    <w:link w:val="Textodstavce"/>
    <w:rsid w:val="00F0797E"/>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rsid w:val="00D76122"/>
    <w:pPr>
      <w:spacing w:after="0" w:line="240" w:lineRule="auto"/>
    </w:pPr>
    <w:rPr>
      <w:rFonts w:ascii="Times New Roman" w:eastAsia="Times New Roman" w:hAnsi="Times New Roman" w:cs="Times New Roman"/>
      <w:sz w:val="18"/>
      <w:szCs w:val="18"/>
      <w:lang w:eastAsia="cs-CZ"/>
    </w:rPr>
  </w:style>
  <w:style w:type="character" w:customStyle="1" w:styleId="ZkladntextodsazenChar">
    <w:name w:val="Základní text odsazený Char"/>
    <w:basedOn w:val="Standardnpsmoodstavce"/>
    <w:link w:val="Zkladntextodsazen"/>
    <w:uiPriority w:val="99"/>
    <w:rsid w:val="00D76122"/>
    <w:rPr>
      <w:rFonts w:ascii="Times New Roman" w:eastAsia="Times New Roman" w:hAnsi="Times New Roman" w:cs="Times New Roman"/>
      <w:sz w:val="18"/>
      <w:szCs w:val="18"/>
      <w:lang w:eastAsia="cs-CZ"/>
    </w:rPr>
  </w:style>
  <w:style w:type="paragraph" w:styleId="Textbubliny">
    <w:name w:val="Balloon Text"/>
    <w:basedOn w:val="Normln"/>
    <w:link w:val="TextbublinyChar"/>
    <w:uiPriority w:val="99"/>
    <w:semiHidden/>
    <w:unhideWhenUsed/>
    <w:rsid w:val="006A4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4B5E"/>
    <w:rPr>
      <w:rFonts w:ascii="Tahoma" w:hAnsi="Tahoma" w:cs="Tahoma"/>
      <w:sz w:val="16"/>
      <w:szCs w:val="16"/>
    </w:rPr>
  </w:style>
  <w:style w:type="character" w:styleId="Hypertextovodkaz">
    <w:name w:val="Hyperlink"/>
    <w:basedOn w:val="Standardnpsmoodstavce"/>
    <w:uiPriority w:val="99"/>
    <w:unhideWhenUsed/>
    <w:rsid w:val="006A4B5E"/>
    <w:rPr>
      <w:color w:val="0000FF" w:themeColor="hyperlink"/>
      <w:u w:val="single"/>
    </w:rPr>
  </w:style>
  <w:style w:type="character" w:styleId="Siln">
    <w:name w:val="Strong"/>
    <w:basedOn w:val="Standardnpsmoodstavce"/>
    <w:uiPriority w:val="22"/>
    <w:qFormat/>
    <w:rsid w:val="004874AC"/>
    <w:rPr>
      <w:b/>
      <w:bCs/>
    </w:rPr>
  </w:style>
</w:styles>
</file>

<file path=word/webSettings.xml><?xml version="1.0" encoding="utf-8"?>
<w:webSettings xmlns:r="http://schemas.openxmlformats.org/officeDocument/2006/relationships" xmlns:w="http://schemas.openxmlformats.org/wordprocessingml/2006/main">
  <w:divs>
    <w:div w:id="626475245">
      <w:bodyDiv w:val="1"/>
      <w:marLeft w:val="0"/>
      <w:marRight w:val="0"/>
      <w:marTop w:val="0"/>
      <w:marBottom w:val="0"/>
      <w:divBdr>
        <w:top w:val="none" w:sz="0" w:space="0" w:color="auto"/>
        <w:left w:val="none" w:sz="0" w:space="0" w:color="auto"/>
        <w:bottom w:val="none" w:sz="0" w:space="0" w:color="auto"/>
        <w:right w:val="none" w:sz="0" w:space="0" w:color="auto"/>
      </w:divBdr>
      <w:divsChild>
        <w:div w:id="1859394609">
          <w:marLeft w:val="0"/>
          <w:marRight w:val="0"/>
          <w:marTop w:val="0"/>
          <w:marBottom w:val="0"/>
          <w:divBdr>
            <w:top w:val="none" w:sz="0" w:space="0" w:color="auto"/>
            <w:left w:val="none" w:sz="0" w:space="0" w:color="auto"/>
            <w:bottom w:val="none" w:sz="0" w:space="0" w:color="auto"/>
            <w:right w:val="none" w:sz="0" w:space="0" w:color="auto"/>
          </w:divBdr>
          <w:divsChild>
            <w:div w:id="1704478241">
              <w:marLeft w:val="0"/>
              <w:marRight w:val="0"/>
              <w:marTop w:val="0"/>
              <w:marBottom w:val="0"/>
              <w:divBdr>
                <w:top w:val="none" w:sz="0" w:space="0" w:color="auto"/>
                <w:left w:val="none" w:sz="0" w:space="0" w:color="auto"/>
                <w:bottom w:val="none" w:sz="0" w:space="0" w:color="auto"/>
                <w:right w:val="none" w:sz="0" w:space="0" w:color="auto"/>
              </w:divBdr>
              <w:divsChild>
                <w:div w:id="1958873932">
                  <w:marLeft w:val="0"/>
                  <w:marRight w:val="0"/>
                  <w:marTop w:val="0"/>
                  <w:marBottom w:val="0"/>
                  <w:divBdr>
                    <w:top w:val="none" w:sz="0" w:space="0" w:color="auto"/>
                    <w:left w:val="none" w:sz="0" w:space="0" w:color="auto"/>
                    <w:bottom w:val="none" w:sz="0" w:space="0" w:color="auto"/>
                    <w:right w:val="none" w:sz="0" w:space="0" w:color="auto"/>
                  </w:divBdr>
                  <w:divsChild>
                    <w:div w:id="6385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02">
      <w:bodyDiv w:val="1"/>
      <w:marLeft w:val="0"/>
      <w:marRight w:val="0"/>
      <w:marTop w:val="0"/>
      <w:marBottom w:val="0"/>
      <w:divBdr>
        <w:top w:val="none" w:sz="0" w:space="0" w:color="auto"/>
        <w:left w:val="none" w:sz="0" w:space="0" w:color="auto"/>
        <w:bottom w:val="none" w:sz="0" w:space="0" w:color="auto"/>
        <w:right w:val="none" w:sz="0" w:space="0" w:color="auto"/>
      </w:divBdr>
    </w:div>
    <w:div w:id="17008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r.cz/cs/legislativa/metodiky/2014/metodicky-pokyn-k-vyplneni-prilohy-c-5-c-17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6A9AD-AE21-47A5-BD07-F62560D9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Pages>
  <Words>2669</Words>
  <Characters>15749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846</dc:creator>
  <cp:lastModifiedBy>499</cp:lastModifiedBy>
  <cp:revision>21</cp:revision>
  <cp:lastPrinted>2014-05-15T07:47:00Z</cp:lastPrinted>
  <dcterms:created xsi:type="dcterms:W3CDTF">2014-03-13T11:05:00Z</dcterms:created>
  <dcterms:modified xsi:type="dcterms:W3CDTF">2014-05-15T08:08:00Z</dcterms:modified>
</cp:coreProperties>
</file>