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0F" w:rsidRPr="00C84E8F" w:rsidRDefault="00F6620F" w:rsidP="00E61ABE">
      <w:pPr>
        <w:rPr>
          <w:rFonts w:ascii="Garamond" w:hAnsi="Garamond"/>
          <w:b/>
          <w:sz w:val="28"/>
          <w:szCs w:val="20"/>
          <w:u w:val="single"/>
        </w:rPr>
      </w:pPr>
      <w:r w:rsidRPr="00C84E8F">
        <w:rPr>
          <w:rFonts w:ascii="Garamond" w:hAnsi="Garamond"/>
          <w:b/>
          <w:sz w:val="28"/>
          <w:szCs w:val="20"/>
          <w:u w:val="single"/>
        </w:rPr>
        <w:t xml:space="preserve">Přehled judikatury Nejvyššího správního soudu v oblasti práva na informace – judikáty ze Sbírky </w:t>
      </w:r>
      <w:r w:rsidR="00867B91" w:rsidRPr="00C84E8F">
        <w:rPr>
          <w:rFonts w:ascii="Garamond" w:hAnsi="Garamond"/>
          <w:b/>
          <w:sz w:val="28"/>
          <w:szCs w:val="20"/>
          <w:u w:val="single"/>
        </w:rPr>
        <w:t>Nejvyššího správního soudu</w:t>
      </w:r>
    </w:p>
    <w:p w:rsidR="00867B91" w:rsidRPr="00E61ABE" w:rsidRDefault="00867B91" w:rsidP="00E61ABE">
      <w:pPr>
        <w:rPr>
          <w:rFonts w:ascii="Garamond" w:hAnsi="Garamond"/>
          <w:sz w:val="20"/>
          <w:szCs w:val="20"/>
        </w:rPr>
      </w:pPr>
      <w:r w:rsidRPr="00E61ABE">
        <w:rPr>
          <w:rFonts w:ascii="Garamond" w:hAnsi="Garamond"/>
          <w:sz w:val="20"/>
          <w:szCs w:val="20"/>
        </w:rPr>
        <w:t xml:space="preserve">poslední aktualizace </w:t>
      </w:r>
      <w:proofErr w:type="gramStart"/>
      <w:r w:rsidR="00C84E8F">
        <w:rPr>
          <w:rFonts w:ascii="Garamond" w:hAnsi="Garamond"/>
          <w:sz w:val="20"/>
          <w:szCs w:val="20"/>
        </w:rPr>
        <w:t>28</w:t>
      </w:r>
      <w:r w:rsidRPr="00E61ABE">
        <w:rPr>
          <w:rFonts w:ascii="Garamond" w:hAnsi="Garamond"/>
          <w:sz w:val="20"/>
          <w:szCs w:val="20"/>
        </w:rPr>
        <w:t>.2.2013</w:t>
      </w:r>
      <w:proofErr w:type="gramEnd"/>
    </w:p>
    <w:p w:rsidR="00F6620F" w:rsidRPr="00E61ABE" w:rsidRDefault="00F6620F" w:rsidP="00E61ABE">
      <w:pPr>
        <w:rPr>
          <w:rFonts w:ascii="Garamond" w:hAnsi="Garamond"/>
          <w:sz w:val="20"/>
          <w:szCs w:val="20"/>
          <w:highlight w:val="yellow"/>
        </w:rPr>
      </w:pPr>
    </w:p>
    <w:p w:rsidR="00C11C92" w:rsidRPr="00E61ABE" w:rsidRDefault="00C11C92" w:rsidP="00E61ABE">
      <w:pPr>
        <w:rPr>
          <w:rFonts w:ascii="Garamond" w:hAnsi="Garamond"/>
          <w:sz w:val="20"/>
          <w:szCs w:val="20"/>
        </w:rPr>
      </w:pPr>
      <w:r w:rsidRPr="00E61ABE">
        <w:rPr>
          <w:rFonts w:ascii="Garamond" w:hAnsi="Garamond"/>
          <w:sz w:val="20"/>
          <w:szCs w:val="20"/>
          <w:highlight w:val="yellow"/>
        </w:rPr>
        <w:t>žlutě jsou označeny neaktuální, již překonané judikáty</w:t>
      </w:r>
    </w:p>
    <w:p w:rsidR="00166359" w:rsidRDefault="00166359" w:rsidP="00E61ABE">
      <w:pPr>
        <w:rPr>
          <w:rFonts w:ascii="Garamond" w:hAnsi="Garamond"/>
          <w:sz w:val="20"/>
          <w:szCs w:val="20"/>
        </w:rPr>
      </w:pPr>
    </w:p>
    <w:p w:rsidR="00A54948" w:rsidRPr="00A54948" w:rsidRDefault="00C25628" w:rsidP="00E61ABE">
      <w:pPr>
        <w:rPr>
          <w:rFonts w:ascii="Garamond" w:hAnsi="Garamond"/>
          <w:sz w:val="20"/>
          <w:szCs w:val="20"/>
        </w:rPr>
      </w:pPr>
      <w:hyperlink r:id="rId4" w:history="1">
        <w:r w:rsidR="00A54948" w:rsidRPr="00A54948">
          <w:rPr>
            <w:rStyle w:val="Hypertextovodkaz"/>
            <w:rFonts w:ascii="Garamond" w:hAnsi="Garamond"/>
            <w:b/>
            <w:color w:val="auto"/>
            <w:sz w:val="20"/>
            <w:szCs w:val="20"/>
          </w:rPr>
          <w:t>Číslo: 8/2012</w:t>
        </w:r>
      </w:hyperlink>
      <w:r w:rsidR="00A54948" w:rsidRPr="00A54948">
        <w:rPr>
          <w:rFonts w:ascii="Garamond" w:hAnsi="Garamond"/>
          <w:sz w:val="20"/>
          <w:szCs w:val="20"/>
        </w:rPr>
        <w:t xml:space="preserve"> </w:t>
      </w:r>
      <w:r w:rsidR="00A54948" w:rsidRPr="00A54948">
        <w:rPr>
          <w:rFonts w:ascii="Garamond" w:hAnsi="Garamond"/>
          <w:sz w:val="20"/>
          <w:szCs w:val="20"/>
        </w:rPr>
        <w:br/>
        <w:t>Ročník: 0</w:t>
      </w: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A54948" w:rsidRPr="00A54948" w:rsidTr="00A54948">
        <w:trPr>
          <w:tblCellSpacing w:w="15" w:type="dxa"/>
        </w:trPr>
        <w:tc>
          <w:tcPr>
            <w:tcW w:w="0" w:type="auto"/>
            <w:shd w:val="clear" w:color="auto" w:fill="FFFFFF"/>
            <w:vAlign w:val="center"/>
            <w:hideMark/>
          </w:tcPr>
          <w:p w:rsidR="00A54948" w:rsidRPr="00A54948" w:rsidRDefault="00A54948" w:rsidP="00A54948">
            <w:pPr>
              <w:spacing w:after="0"/>
              <w:rPr>
                <w:rFonts w:ascii="Garamond" w:hAnsi="Garamond"/>
                <w:b/>
                <w:sz w:val="20"/>
                <w:szCs w:val="20"/>
              </w:rPr>
            </w:pPr>
            <w:r w:rsidRPr="00A54948">
              <w:rPr>
                <w:rFonts w:ascii="Garamond" w:hAnsi="Garamond"/>
                <w:b/>
                <w:sz w:val="20"/>
                <w:szCs w:val="20"/>
              </w:rPr>
              <w:t>Právo na informace: povinnost poskytnout informace; mimořádně rozsáhlé vyhledávání informací; vytváření nových informací</w:t>
            </w:r>
          </w:p>
        </w:tc>
      </w:tr>
      <w:tr w:rsidR="00A54948" w:rsidRPr="00A54948" w:rsidTr="00A54948">
        <w:trPr>
          <w:tblCellSpacing w:w="15" w:type="dxa"/>
        </w:trPr>
        <w:tc>
          <w:tcPr>
            <w:tcW w:w="0" w:type="auto"/>
            <w:shd w:val="clear" w:color="auto" w:fill="FFFFFF"/>
            <w:vAlign w:val="center"/>
            <w:hideMark/>
          </w:tcPr>
          <w:p w:rsidR="00A54948" w:rsidRPr="00A54948" w:rsidRDefault="00A54948" w:rsidP="00321605">
            <w:pPr>
              <w:spacing w:after="0" w:line="240" w:lineRule="auto"/>
              <w:jc w:val="both"/>
              <w:rPr>
                <w:rFonts w:ascii="Garamond" w:hAnsi="Garamond"/>
                <w:sz w:val="20"/>
                <w:szCs w:val="20"/>
              </w:rPr>
            </w:pPr>
            <w:r w:rsidRPr="00A54948">
              <w:rPr>
                <w:rFonts w:ascii="Garamond" w:hAnsi="Garamond"/>
                <w:sz w:val="20"/>
                <w:szCs w:val="20"/>
              </w:rPr>
              <w:t>I. Při výkladu zákonné výluky z povinnosti poskytovat informace, které by bylo nutno nově vytvářet (§ 2 odst. 4 zákona č. 106/1999 Sb., o svobodném přístupu k informacím), je nutno rozlišovat mezi situacemi, kdy výtahy z</w:t>
            </w:r>
            <w:r w:rsidR="00321605">
              <w:rPr>
                <w:rFonts w:ascii="Garamond" w:hAnsi="Garamond"/>
                <w:sz w:val="20"/>
                <w:szCs w:val="20"/>
              </w:rPr>
              <w:t> </w:t>
            </w:r>
            <w:r w:rsidRPr="00A54948">
              <w:rPr>
                <w:rFonts w:ascii="Garamond" w:hAnsi="Garamond"/>
                <w:sz w:val="20"/>
                <w:szCs w:val="20"/>
              </w:rPr>
              <w:t>existujících dokumentů představují pouze jednoduchou operaci, a případy, kdy k vytvoření odpovědi na žádost nestačí pouhé mechanické vyhledání a shromáždění údajů, které má povinný subjekt k dispozici, a je tak nezbytné s</w:t>
            </w:r>
            <w:r w:rsidR="00321605">
              <w:rPr>
                <w:rFonts w:ascii="Garamond" w:hAnsi="Garamond"/>
                <w:sz w:val="20"/>
                <w:szCs w:val="20"/>
              </w:rPr>
              <w:t> </w:t>
            </w:r>
            <w:r w:rsidRPr="00A54948">
              <w:rPr>
                <w:rFonts w:ascii="Garamond" w:hAnsi="Garamond"/>
                <w:sz w:val="20"/>
                <w:szCs w:val="20"/>
              </w:rPr>
              <w:t>těmito údaji provádět další zpracovávání nad rámec prostého „vtělení“ do odpovědi na žádost. Nelze přitom vycházet toliko z pracnosti, či doby, která by byla potřebná pro přípravu odpovědi na žádost (shromáždění informací). Tyto faktory zákon zohledňuje institutem mimořádně rozsáhlého vyhledání informací (§ 17 odst. 1 citovaného zákona).</w:t>
            </w:r>
          </w:p>
        </w:tc>
      </w:tr>
      <w:tr w:rsidR="00A54948" w:rsidRPr="00A54948" w:rsidTr="00A54948">
        <w:trPr>
          <w:tblCellSpacing w:w="15" w:type="dxa"/>
        </w:trPr>
        <w:tc>
          <w:tcPr>
            <w:tcW w:w="0" w:type="auto"/>
            <w:shd w:val="clear" w:color="auto" w:fill="FFFFFF"/>
            <w:vAlign w:val="center"/>
            <w:hideMark/>
          </w:tcPr>
          <w:p w:rsidR="00A54948" w:rsidRPr="00A54948" w:rsidRDefault="00A54948" w:rsidP="00837C05">
            <w:pPr>
              <w:spacing w:after="0" w:line="240" w:lineRule="auto"/>
              <w:jc w:val="both"/>
              <w:rPr>
                <w:rFonts w:ascii="Garamond" w:hAnsi="Garamond"/>
                <w:sz w:val="20"/>
                <w:szCs w:val="20"/>
              </w:rPr>
            </w:pPr>
            <w:r w:rsidRPr="00A54948">
              <w:rPr>
                <w:rFonts w:ascii="Garamond" w:hAnsi="Garamond"/>
                <w:sz w:val="20"/>
                <w:szCs w:val="20"/>
              </w:rPr>
              <w:t>II. Odmítnout žádost o informace s tím, že by bylo nutné vytvořit nové informace (§ 2 odst. 4 zákona č. 106/1999 Sb., o svobodném přístupu k informacím) lze pouze v případě, že povinný subjekt nemá povinnost předmětnými informacemi disponovat.</w:t>
            </w:r>
          </w:p>
        </w:tc>
      </w:tr>
      <w:tr w:rsidR="00A54948" w:rsidRPr="00A54948" w:rsidTr="00A54948">
        <w:trPr>
          <w:tblCellSpacing w:w="15" w:type="dxa"/>
        </w:trPr>
        <w:tc>
          <w:tcPr>
            <w:tcW w:w="0" w:type="auto"/>
            <w:shd w:val="clear" w:color="auto" w:fill="FFFFFF"/>
            <w:vAlign w:val="center"/>
            <w:hideMark/>
          </w:tcPr>
          <w:p w:rsidR="00A54948" w:rsidRDefault="00A54948" w:rsidP="00837C05">
            <w:pPr>
              <w:spacing w:after="0" w:line="240" w:lineRule="auto"/>
              <w:jc w:val="both"/>
              <w:rPr>
                <w:rFonts w:ascii="Garamond" w:hAnsi="Garamond"/>
                <w:sz w:val="20"/>
                <w:szCs w:val="20"/>
              </w:rPr>
            </w:pPr>
            <w:r w:rsidRPr="00A54948">
              <w:rPr>
                <w:rFonts w:ascii="Garamond" w:hAnsi="Garamond"/>
                <w:sz w:val="20"/>
                <w:szCs w:val="20"/>
              </w:rPr>
              <w:t xml:space="preserve">(Podle rozsudku Nejvyššího správního soudu ze dne </w:t>
            </w:r>
            <w:proofErr w:type="gramStart"/>
            <w:r w:rsidRPr="00A54948">
              <w:rPr>
                <w:rFonts w:ascii="Garamond" w:hAnsi="Garamond"/>
                <w:sz w:val="20"/>
                <w:szCs w:val="20"/>
              </w:rPr>
              <w:t>09.02.2012</w:t>
            </w:r>
            <w:proofErr w:type="gramEnd"/>
            <w:r w:rsidRPr="00A54948">
              <w:rPr>
                <w:rFonts w:ascii="Garamond" w:hAnsi="Garamond"/>
                <w:sz w:val="20"/>
                <w:szCs w:val="20"/>
              </w:rPr>
              <w:t xml:space="preserve">, </w:t>
            </w:r>
            <w:proofErr w:type="spellStart"/>
            <w:r w:rsidRPr="00A54948">
              <w:rPr>
                <w:rFonts w:ascii="Garamond" w:hAnsi="Garamond"/>
                <w:sz w:val="20"/>
                <w:szCs w:val="20"/>
              </w:rPr>
              <w:t>čj</w:t>
            </w:r>
            <w:proofErr w:type="spellEnd"/>
            <w:r w:rsidRPr="00A54948">
              <w:rPr>
                <w:rFonts w:ascii="Garamond" w:hAnsi="Garamond"/>
                <w:sz w:val="20"/>
                <w:szCs w:val="20"/>
              </w:rPr>
              <w:t>. 1 As 141/2011 - 67)</w:t>
            </w:r>
          </w:p>
          <w:p w:rsidR="00A54948" w:rsidRDefault="00A54948" w:rsidP="00837C05">
            <w:pPr>
              <w:spacing w:after="0" w:line="240" w:lineRule="auto"/>
              <w:jc w:val="both"/>
              <w:rPr>
                <w:rFonts w:ascii="Garamond" w:hAnsi="Garamond"/>
                <w:sz w:val="20"/>
                <w:szCs w:val="20"/>
              </w:rPr>
            </w:pPr>
          </w:p>
          <w:p w:rsidR="00A54948" w:rsidRPr="00A54948" w:rsidRDefault="00A54948" w:rsidP="00837C05">
            <w:pPr>
              <w:spacing w:after="0" w:line="240" w:lineRule="auto"/>
              <w:jc w:val="both"/>
              <w:rPr>
                <w:rFonts w:ascii="Garamond" w:hAnsi="Garamond"/>
                <w:sz w:val="20"/>
                <w:szCs w:val="20"/>
              </w:rPr>
            </w:pPr>
            <w:r w:rsidRPr="00A54948">
              <w:rPr>
                <w:rFonts w:ascii="Garamond" w:hAnsi="Garamond"/>
                <w:sz w:val="20"/>
                <w:szCs w:val="20"/>
              </w:rPr>
              <w:t xml:space="preserve"> </w:t>
            </w:r>
          </w:p>
        </w:tc>
      </w:tr>
      <w:tr w:rsidR="00166359" w:rsidRPr="00E61ABE" w:rsidTr="00166359">
        <w:trPr>
          <w:tblCellSpacing w:w="15" w:type="dxa"/>
        </w:trPr>
        <w:tc>
          <w:tcPr>
            <w:tcW w:w="0" w:type="auto"/>
            <w:shd w:val="clear" w:color="auto" w:fill="FFFFFF"/>
            <w:vAlign w:val="center"/>
            <w:hideMark/>
          </w:tcPr>
          <w:p w:rsidR="00166359" w:rsidRPr="00E61ABE" w:rsidRDefault="00C25628" w:rsidP="00E61ABE">
            <w:pPr>
              <w:spacing w:after="0" w:line="240" w:lineRule="auto"/>
              <w:rPr>
                <w:rFonts w:ascii="Garamond" w:hAnsi="Garamond"/>
                <w:sz w:val="20"/>
                <w:szCs w:val="20"/>
                <w:shd w:val="clear" w:color="auto" w:fill="FFFFFF"/>
              </w:rPr>
            </w:pPr>
            <w:hyperlink r:id="rId5" w:history="1">
              <w:r w:rsidR="00166359" w:rsidRPr="00E61ABE">
                <w:rPr>
                  <w:rStyle w:val="Hypertextovodkaz"/>
                  <w:rFonts w:ascii="Garamond" w:hAnsi="Garamond"/>
                  <w:b/>
                  <w:bCs/>
                  <w:color w:val="auto"/>
                  <w:sz w:val="20"/>
                  <w:szCs w:val="20"/>
                  <w:shd w:val="clear" w:color="auto" w:fill="FFFFFF"/>
                </w:rPr>
                <w:t>Číslo: 6/2012</w:t>
              </w:r>
            </w:hyperlink>
            <w:r w:rsidR="00166359" w:rsidRPr="00E61ABE">
              <w:rPr>
                <w:rStyle w:val="apple-converted-space"/>
                <w:rFonts w:ascii="Garamond" w:hAnsi="Garamond"/>
                <w:sz w:val="20"/>
                <w:szCs w:val="20"/>
                <w:shd w:val="clear" w:color="auto" w:fill="FFFFFF"/>
              </w:rPr>
              <w:t> </w:t>
            </w:r>
            <w:r w:rsidR="00166359" w:rsidRPr="00E61ABE">
              <w:rPr>
                <w:rFonts w:ascii="Garamond" w:hAnsi="Garamond"/>
                <w:sz w:val="20"/>
                <w:szCs w:val="20"/>
              </w:rPr>
              <w:br/>
            </w:r>
            <w:r w:rsidR="00166359" w:rsidRPr="00E61ABE">
              <w:rPr>
                <w:rFonts w:ascii="Garamond" w:hAnsi="Garamond"/>
                <w:sz w:val="20"/>
                <w:szCs w:val="20"/>
                <w:shd w:val="clear" w:color="auto" w:fill="FFFFFF"/>
              </w:rPr>
              <w:t>Ročník: 0</w:t>
            </w:r>
          </w:p>
          <w:p w:rsidR="00166359" w:rsidRPr="00E61ABE" w:rsidRDefault="00166359" w:rsidP="00E61ABE">
            <w:pPr>
              <w:spacing w:after="0" w:line="240" w:lineRule="auto"/>
              <w:rPr>
                <w:rFonts w:ascii="Garamond" w:hAnsi="Garamond"/>
                <w:sz w:val="20"/>
                <w:szCs w:val="20"/>
                <w:shd w:val="clear" w:color="auto" w:fill="FFFFFF"/>
              </w:rPr>
            </w:pPr>
          </w:p>
          <w:p w:rsidR="00166359" w:rsidRPr="00E61ABE" w:rsidRDefault="00166359"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2602</w:t>
            </w:r>
          </w:p>
        </w:tc>
      </w:tr>
      <w:tr w:rsidR="00166359" w:rsidRPr="00E61ABE" w:rsidTr="00166359">
        <w:trPr>
          <w:tblCellSpacing w:w="15" w:type="dxa"/>
        </w:trPr>
        <w:tc>
          <w:tcPr>
            <w:tcW w:w="0" w:type="auto"/>
            <w:shd w:val="clear" w:color="auto" w:fill="FFFFFF"/>
            <w:vAlign w:val="center"/>
            <w:hideMark/>
          </w:tcPr>
          <w:p w:rsidR="00166359" w:rsidRPr="00E61ABE" w:rsidRDefault="00166359"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Řízení před soudem: rozsah přezkumu rozhodnutí obsahujícího utajované skutečnosti Utajované informace: bezpečnostní riziko</w:t>
            </w:r>
          </w:p>
        </w:tc>
      </w:tr>
      <w:tr w:rsidR="00166359" w:rsidRPr="00E61ABE" w:rsidTr="00166359">
        <w:trPr>
          <w:tblCellSpacing w:w="15" w:type="dxa"/>
        </w:trPr>
        <w:tc>
          <w:tcPr>
            <w:tcW w:w="0" w:type="auto"/>
            <w:shd w:val="clear" w:color="auto" w:fill="FFFFFF"/>
            <w:vAlign w:val="center"/>
            <w:hideMark/>
          </w:tcPr>
          <w:p w:rsidR="00166359" w:rsidRPr="00837C05" w:rsidRDefault="00166359" w:rsidP="00321605">
            <w:pPr>
              <w:spacing w:after="0" w:line="240" w:lineRule="auto"/>
              <w:jc w:val="both"/>
              <w:rPr>
                <w:rFonts w:ascii="Garamond" w:hAnsi="Garamond"/>
                <w:sz w:val="20"/>
                <w:szCs w:val="20"/>
              </w:rPr>
            </w:pPr>
            <w:r w:rsidRPr="00837C05">
              <w:rPr>
                <w:rFonts w:ascii="Garamond" w:hAnsi="Garamond"/>
                <w:sz w:val="20"/>
                <w:szCs w:val="20"/>
              </w:rPr>
              <w:t xml:space="preserve">I. V bezpečnostním řízení je nutno najít rovnováhu mezi dvěma legitimními, avšak navzájem protichůdnými zájmy – zájmem na zajištění spravedlivého procesu pro toho, jehož bezpečnostní způsobilost je zkoumána (čl. 36 a </w:t>
            </w:r>
            <w:proofErr w:type="spellStart"/>
            <w:r w:rsidRPr="00837C05">
              <w:rPr>
                <w:rFonts w:ascii="Garamond" w:hAnsi="Garamond"/>
                <w:sz w:val="20"/>
                <w:szCs w:val="20"/>
              </w:rPr>
              <w:t>násl</w:t>
            </w:r>
            <w:proofErr w:type="spellEnd"/>
            <w:r w:rsidRPr="00837C05">
              <w:rPr>
                <w:rFonts w:ascii="Garamond" w:hAnsi="Garamond"/>
                <w:sz w:val="20"/>
                <w:szCs w:val="20"/>
              </w:rPr>
              <w:t>. Listiny základních práv a svobod), a zájmem na utajení informací potřebných k ochraně veřejného zájmu. Této rovnováhy nelze dosáhnout bez účinné soudní kontroly. Proto musí mít soud v rámci soudního přezkumu přístup ke</w:t>
            </w:r>
            <w:r w:rsidR="00321605">
              <w:rPr>
                <w:rFonts w:ascii="Garamond" w:hAnsi="Garamond"/>
                <w:sz w:val="20"/>
                <w:szCs w:val="20"/>
              </w:rPr>
              <w:t> </w:t>
            </w:r>
            <w:r w:rsidRPr="00837C05">
              <w:rPr>
                <w:rFonts w:ascii="Garamond" w:hAnsi="Garamond"/>
                <w:sz w:val="20"/>
                <w:szCs w:val="20"/>
              </w:rPr>
              <w:t>všem informacím, na základě nichž bylo rozhodnuto v bezpečnostním řízení.</w:t>
            </w:r>
          </w:p>
        </w:tc>
      </w:tr>
      <w:tr w:rsidR="00166359" w:rsidRPr="00E61ABE" w:rsidTr="00166359">
        <w:trPr>
          <w:tblCellSpacing w:w="15" w:type="dxa"/>
        </w:trPr>
        <w:tc>
          <w:tcPr>
            <w:tcW w:w="0" w:type="auto"/>
            <w:shd w:val="clear" w:color="auto" w:fill="FFFFFF"/>
            <w:vAlign w:val="center"/>
            <w:hideMark/>
          </w:tcPr>
          <w:p w:rsidR="00166359" w:rsidRPr="00837C05" w:rsidRDefault="00166359" w:rsidP="00837C05">
            <w:pPr>
              <w:spacing w:after="0" w:line="240" w:lineRule="auto"/>
              <w:jc w:val="both"/>
              <w:rPr>
                <w:rFonts w:ascii="Garamond" w:hAnsi="Garamond"/>
                <w:sz w:val="20"/>
                <w:szCs w:val="20"/>
              </w:rPr>
            </w:pPr>
            <w:r w:rsidRPr="00837C05">
              <w:rPr>
                <w:rFonts w:ascii="Garamond" w:hAnsi="Garamond"/>
                <w:sz w:val="20"/>
                <w:szCs w:val="20"/>
              </w:rPr>
              <w:t xml:space="preserve">II. Soud je v takovém případě ve zvýšené míře než při „běžném“ soudním řízení, v němž účastník má k dispozici stejné informace jako soud, garantem práva na spravedlivý proces (čl. 36 a </w:t>
            </w:r>
            <w:proofErr w:type="spellStart"/>
            <w:r w:rsidRPr="00837C05">
              <w:rPr>
                <w:rFonts w:ascii="Garamond" w:hAnsi="Garamond"/>
                <w:sz w:val="20"/>
                <w:szCs w:val="20"/>
              </w:rPr>
              <w:t>násl</w:t>
            </w:r>
            <w:proofErr w:type="spellEnd"/>
            <w:r w:rsidRPr="00837C05">
              <w:rPr>
                <w:rFonts w:ascii="Garamond" w:hAnsi="Garamond"/>
                <w:sz w:val="20"/>
                <w:szCs w:val="20"/>
              </w:rPr>
              <w:t>. Listiny základních práv a svobod), což vyžaduje i zvýšenou aktivitu soudu vůči postupu veřejné správy. Jen za splnění těchto podmínek může být přístup k informacím v nezbytných případech odepřen účastníkům řízení či dalším na řízení participujícím osobám (zástupcům účastníků, zúčastněným osobám aj.).</w:t>
            </w:r>
          </w:p>
        </w:tc>
      </w:tr>
      <w:tr w:rsidR="00166359" w:rsidRPr="00E61ABE" w:rsidTr="00166359">
        <w:trPr>
          <w:tblCellSpacing w:w="15" w:type="dxa"/>
        </w:trPr>
        <w:tc>
          <w:tcPr>
            <w:tcW w:w="0" w:type="auto"/>
            <w:shd w:val="clear" w:color="auto" w:fill="FFFFFF"/>
            <w:vAlign w:val="center"/>
            <w:hideMark/>
          </w:tcPr>
          <w:p w:rsidR="00166359" w:rsidRPr="00837C05" w:rsidRDefault="00166359" w:rsidP="00837C05">
            <w:pPr>
              <w:spacing w:after="0" w:line="240" w:lineRule="auto"/>
              <w:jc w:val="both"/>
              <w:rPr>
                <w:rFonts w:ascii="Garamond" w:hAnsi="Garamond"/>
                <w:sz w:val="20"/>
                <w:szCs w:val="20"/>
              </w:rPr>
            </w:pPr>
            <w:r w:rsidRPr="00837C05">
              <w:rPr>
                <w:rFonts w:ascii="Garamond" w:hAnsi="Garamond"/>
                <w:sz w:val="20"/>
                <w:szCs w:val="20"/>
              </w:rPr>
              <w:t>III. Účastník řízení nemůže efektivně namítat nezákonnost určitých zjištění, neví-li ani, co je jejich obsahem. V této specifické situaci to naopak musí být soud, který „supluje“ aktivitu účastníka řízení a přezkoumá relevanci utajovaných informací ze všech hledisek, která se vzhledem k povaze věci jeví být důležitými.</w:t>
            </w:r>
          </w:p>
        </w:tc>
      </w:tr>
      <w:tr w:rsidR="00166359" w:rsidRPr="00E61ABE" w:rsidTr="00166359">
        <w:trPr>
          <w:tblCellSpacing w:w="15" w:type="dxa"/>
        </w:trPr>
        <w:tc>
          <w:tcPr>
            <w:tcW w:w="0" w:type="auto"/>
            <w:shd w:val="clear" w:color="auto" w:fill="FFFFFF"/>
            <w:vAlign w:val="center"/>
            <w:hideMark/>
          </w:tcPr>
          <w:p w:rsidR="00166359" w:rsidRPr="00837C05" w:rsidRDefault="00166359" w:rsidP="00321605">
            <w:pPr>
              <w:spacing w:after="0" w:line="240" w:lineRule="auto"/>
              <w:jc w:val="both"/>
              <w:rPr>
                <w:rFonts w:ascii="Garamond" w:hAnsi="Garamond"/>
                <w:sz w:val="20"/>
                <w:szCs w:val="20"/>
              </w:rPr>
            </w:pPr>
            <w:r w:rsidRPr="00837C05">
              <w:rPr>
                <w:rFonts w:ascii="Garamond" w:hAnsi="Garamond"/>
                <w:sz w:val="20"/>
                <w:szCs w:val="20"/>
              </w:rPr>
              <w:t>IV. V bezpečnostním řízení zjištěné skutkové okolnosti musí ve svém souhrnu být přesvědčivým podkladem pro</w:t>
            </w:r>
            <w:r w:rsidR="00321605">
              <w:rPr>
                <w:rFonts w:ascii="Garamond" w:hAnsi="Garamond"/>
                <w:sz w:val="20"/>
                <w:szCs w:val="20"/>
              </w:rPr>
              <w:t> </w:t>
            </w:r>
            <w:r w:rsidRPr="00837C05">
              <w:rPr>
                <w:rFonts w:ascii="Garamond" w:hAnsi="Garamond"/>
                <w:sz w:val="20"/>
                <w:szCs w:val="20"/>
              </w:rPr>
              <w:t>závěr, že v konkrétním případě znamená naplnění určité skutkové podstaty skutečně bezpečnostní riziko (§ 14 odst. 3 zákona č. 412/2005 Sb., o ochraně utajovaných informací a o bezpečnostní způsobilosti). Skutkový základ úvahy mohou tvořit v podstatě jakékoli informace, které má příslušný orgán k dispozici, ať již je získal z jakýchkoli zdrojů a</w:t>
            </w:r>
            <w:r w:rsidR="00321605">
              <w:rPr>
                <w:rFonts w:ascii="Garamond" w:hAnsi="Garamond"/>
                <w:sz w:val="20"/>
                <w:szCs w:val="20"/>
              </w:rPr>
              <w:t> </w:t>
            </w:r>
            <w:r w:rsidRPr="00837C05">
              <w:rPr>
                <w:rFonts w:ascii="Garamond" w:hAnsi="Garamond"/>
                <w:sz w:val="20"/>
                <w:szCs w:val="20"/>
              </w:rPr>
              <w:t>jakýmikoli prostředky. Podstatná je jen informační hodnota takových zjištění. Tu je nutno hodnotit ze všech pro věc relevantních hledisek, zejména je nutno hodnotit věrohodnost (a tedy pravdivostní hodnotu) dané informace a</w:t>
            </w:r>
            <w:r w:rsidR="00321605">
              <w:rPr>
                <w:rFonts w:ascii="Garamond" w:hAnsi="Garamond"/>
                <w:sz w:val="20"/>
                <w:szCs w:val="20"/>
              </w:rPr>
              <w:t> </w:t>
            </w:r>
            <w:r w:rsidRPr="00837C05">
              <w:rPr>
                <w:rFonts w:ascii="Garamond" w:hAnsi="Garamond"/>
                <w:sz w:val="20"/>
                <w:szCs w:val="20"/>
              </w:rPr>
              <w:t>také uvážit, zda je správně vykládána a zda ve skutečnosti nemá jiný význam, než jaký se na první pohled jeví.</w:t>
            </w:r>
          </w:p>
        </w:tc>
      </w:tr>
      <w:tr w:rsidR="00166359" w:rsidRPr="00E61ABE" w:rsidTr="00166359">
        <w:trPr>
          <w:tblCellSpacing w:w="15" w:type="dxa"/>
        </w:trPr>
        <w:tc>
          <w:tcPr>
            <w:tcW w:w="0" w:type="auto"/>
            <w:shd w:val="clear" w:color="auto" w:fill="FFFFFF"/>
            <w:vAlign w:val="center"/>
            <w:hideMark/>
          </w:tcPr>
          <w:p w:rsidR="00166359" w:rsidRPr="00837C05" w:rsidRDefault="00166359" w:rsidP="00321605">
            <w:pPr>
              <w:spacing w:after="0" w:line="240" w:lineRule="auto"/>
              <w:jc w:val="both"/>
              <w:rPr>
                <w:rFonts w:ascii="Garamond" w:hAnsi="Garamond"/>
                <w:sz w:val="20"/>
                <w:szCs w:val="20"/>
              </w:rPr>
            </w:pPr>
            <w:r w:rsidRPr="00837C05">
              <w:rPr>
                <w:rFonts w:ascii="Garamond" w:hAnsi="Garamond"/>
                <w:sz w:val="20"/>
                <w:szCs w:val="20"/>
              </w:rPr>
              <w:t xml:space="preserve">V. Posuzování informační hodnoty určitého zjištění je nutně vždy úvahou pravděpodobnostní, založenou v určité </w:t>
            </w:r>
            <w:r w:rsidRPr="00837C05">
              <w:rPr>
                <w:rFonts w:ascii="Garamond" w:hAnsi="Garamond"/>
                <w:sz w:val="20"/>
                <w:szCs w:val="20"/>
              </w:rPr>
              <w:lastRenderedPageBreak/>
              <w:t>míře na odhadu. Proto někdy pro závěr o existenci bezpečnostního rizika (§ 14 odst. 3 zákona č. 412/2005 Sb., o</w:t>
            </w:r>
            <w:r w:rsidR="00321605">
              <w:rPr>
                <w:rFonts w:ascii="Garamond" w:hAnsi="Garamond"/>
                <w:sz w:val="20"/>
                <w:szCs w:val="20"/>
              </w:rPr>
              <w:t> </w:t>
            </w:r>
            <w:r w:rsidRPr="00837C05">
              <w:rPr>
                <w:rFonts w:ascii="Garamond" w:hAnsi="Garamond"/>
                <w:sz w:val="20"/>
                <w:szCs w:val="20"/>
              </w:rPr>
              <w:t>ochraně utajovaných informací a o bezpečnostní způsobilosti) postačí zjištění, že je pravděpodobné, že příslušná zákonem předvídaná skutková podstata byla naplněna. Může tomu tak být ovšem pouze v případě, že taková eventualita je nejpravděpodobnějším vysvětlením skutkových zjištění a že se na základě dostupných údajů jeví být významně pravděpodobnější než jiná v úvahu připadající vysvětlení.</w:t>
            </w:r>
          </w:p>
        </w:tc>
      </w:tr>
      <w:tr w:rsidR="00166359" w:rsidRPr="00E61ABE" w:rsidTr="00166359">
        <w:trPr>
          <w:tblCellSpacing w:w="15" w:type="dxa"/>
        </w:trPr>
        <w:tc>
          <w:tcPr>
            <w:tcW w:w="0" w:type="auto"/>
            <w:shd w:val="clear" w:color="auto" w:fill="FFFFFF"/>
            <w:vAlign w:val="center"/>
            <w:hideMark/>
          </w:tcPr>
          <w:p w:rsidR="00166359" w:rsidRPr="00837C05" w:rsidRDefault="00166359" w:rsidP="00837C05">
            <w:pPr>
              <w:spacing w:after="0" w:line="240" w:lineRule="auto"/>
              <w:jc w:val="both"/>
              <w:rPr>
                <w:rFonts w:ascii="Garamond" w:hAnsi="Garamond"/>
                <w:sz w:val="20"/>
                <w:szCs w:val="20"/>
              </w:rPr>
            </w:pPr>
            <w:r w:rsidRPr="00837C05">
              <w:rPr>
                <w:rFonts w:ascii="Garamond" w:hAnsi="Garamond"/>
                <w:sz w:val="20"/>
                <w:szCs w:val="20"/>
              </w:rPr>
              <w:lastRenderedPageBreak/>
              <w:t xml:space="preserve">(Podle rozsudku Nejvyššího správního soudu ze dne </w:t>
            </w:r>
            <w:proofErr w:type="gramStart"/>
            <w:r w:rsidRPr="00837C05">
              <w:rPr>
                <w:rFonts w:ascii="Garamond" w:hAnsi="Garamond"/>
                <w:sz w:val="20"/>
                <w:szCs w:val="20"/>
              </w:rPr>
              <w:t>25.11.2011</w:t>
            </w:r>
            <w:proofErr w:type="gramEnd"/>
            <w:r w:rsidRPr="00837C05">
              <w:rPr>
                <w:rFonts w:ascii="Garamond" w:hAnsi="Garamond"/>
                <w:sz w:val="20"/>
                <w:szCs w:val="20"/>
              </w:rPr>
              <w:t xml:space="preserve">, </w:t>
            </w:r>
            <w:proofErr w:type="spellStart"/>
            <w:r w:rsidRPr="00837C05">
              <w:rPr>
                <w:rFonts w:ascii="Garamond" w:hAnsi="Garamond"/>
                <w:sz w:val="20"/>
                <w:szCs w:val="20"/>
              </w:rPr>
              <w:t>čj</w:t>
            </w:r>
            <w:proofErr w:type="spellEnd"/>
            <w:r w:rsidRPr="00837C05">
              <w:rPr>
                <w:rFonts w:ascii="Garamond" w:hAnsi="Garamond"/>
                <w:sz w:val="20"/>
                <w:szCs w:val="20"/>
              </w:rPr>
              <w:t>. 7 As 31/2011 - 101)</w:t>
            </w:r>
          </w:p>
        </w:tc>
      </w:tr>
    </w:tbl>
    <w:p w:rsidR="00166359" w:rsidRPr="00E61ABE" w:rsidRDefault="00166359"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166359" w:rsidRPr="00E61ABE" w:rsidTr="00166359">
        <w:trPr>
          <w:tblCellSpacing w:w="15" w:type="dxa"/>
        </w:trPr>
        <w:tc>
          <w:tcPr>
            <w:tcW w:w="0" w:type="auto"/>
            <w:shd w:val="clear" w:color="auto" w:fill="FFFFFF"/>
            <w:vAlign w:val="center"/>
            <w:hideMark/>
          </w:tcPr>
          <w:p w:rsidR="00166359" w:rsidRPr="00E61ABE" w:rsidRDefault="00C25628" w:rsidP="00E61ABE">
            <w:pPr>
              <w:spacing w:after="0" w:line="240" w:lineRule="auto"/>
              <w:rPr>
                <w:rFonts w:ascii="Garamond" w:hAnsi="Garamond"/>
                <w:sz w:val="20"/>
                <w:szCs w:val="20"/>
                <w:shd w:val="clear" w:color="auto" w:fill="FFFFFF"/>
              </w:rPr>
            </w:pPr>
            <w:hyperlink r:id="rId6" w:history="1">
              <w:r w:rsidR="00166359" w:rsidRPr="00E61ABE">
                <w:rPr>
                  <w:rStyle w:val="Hypertextovodkaz"/>
                  <w:rFonts w:ascii="Garamond" w:hAnsi="Garamond"/>
                  <w:b/>
                  <w:bCs/>
                  <w:color w:val="auto"/>
                  <w:sz w:val="20"/>
                  <w:szCs w:val="20"/>
                  <w:shd w:val="clear" w:color="auto" w:fill="FFFFFF"/>
                </w:rPr>
                <w:t>Číslo: 8/2012</w:t>
              </w:r>
            </w:hyperlink>
            <w:r w:rsidR="00166359" w:rsidRPr="00E61ABE">
              <w:rPr>
                <w:rStyle w:val="apple-converted-space"/>
                <w:rFonts w:ascii="Garamond" w:hAnsi="Garamond"/>
                <w:sz w:val="20"/>
                <w:szCs w:val="20"/>
                <w:shd w:val="clear" w:color="auto" w:fill="FFFFFF"/>
              </w:rPr>
              <w:t> </w:t>
            </w:r>
            <w:r w:rsidR="00166359" w:rsidRPr="00E61ABE">
              <w:rPr>
                <w:rFonts w:ascii="Garamond" w:hAnsi="Garamond"/>
                <w:sz w:val="20"/>
                <w:szCs w:val="20"/>
              </w:rPr>
              <w:br/>
            </w:r>
            <w:r w:rsidR="00166359" w:rsidRPr="00E61ABE">
              <w:rPr>
                <w:rFonts w:ascii="Garamond" w:hAnsi="Garamond"/>
                <w:sz w:val="20"/>
                <w:szCs w:val="20"/>
                <w:shd w:val="clear" w:color="auto" w:fill="FFFFFF"/>
              </w:rPr>
              <w:t>Ročník: 10</w:t>
            </w:r>
          </w:p>
          <w:p w:rsidR="00166359" w:rsidRPr="00E61ABE" w:rsidRDefault="00166359" w:rsidP="00E61ABE">
            <w:pPr>
              <w:spacing w:after="0" w:line="240" w:lineRule="auto"/>
              <w:rPr>
                <w:rFonts w:ascii="Garamond" w:hAnsi="Garamond"/>
                <w:sz w:val="20"/>
                <w:szCs w:val="20"/>
                <w:shd w:val="clear" w:color="auto" w:fill="FFFFFF"/>
              </w:rPr>
            </w:pPr>
          </w:p>
          <w:p w:rsidR="00166359" w:rsidRPr="00E61ABE" w:rsidRDefault="00166359"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2635</w:t>
            </w:r>
          </w:p>
        </w:tc>
      </w:tr>
      <w:tr w:rsidR="00166359" w:rsidRPr="00E61ABE" w:rsidTr="00166359">
        <w:trPr>
          <w:tblCellSpacing w:w="15" w:type="dxa"/>
        </w:trPr>
        <w:tc>
          <w:tcPr>
            <w:tcW w:w="0" w:type="auto"/>
            <w:shd w:val="clear" w:color="auto" w:fill="FFFFFF"/>
            <w:vAlign w:val="center"/>
            <w:hideMark/>
          </w:tcPr>
          <w:p w:rsidR="00166359" w:rsidRPr="00E61ABE" w:rsidRDefault="00166359"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Právo na informace: povinnost poskytnout informace; mimořádně rozsáhlé vyhledávání informací; vytváření nových informací</w:t>
            </w:r>
          </w:p>
        </w:tc>
      </w:tr>
      <w:tr w:rsidR="00166359" w:rsidRPr="00E61ABE" w:rsidTr="00166359">
        <w:trPr>
          <w:tblCellSpacing w:w="15" w:type="dxa"/>
        </w:trPr>
        <w:tc>
          <w:tcPr>
            <w:tcW w:w="0" w:type="auto"/>
            <w:shd w:val="clear" w:color="auto" w:fill="FFFFFF"/>
            <w:vAlign w:val="center"/>
            <w:hideMark/>
          </w:tcPr>
          <w:p w:rsidR="00166359" w:rsidRPr="00837C05" w:rsidRDefault="00166359" w:rsidP="00321605">
            <w:pPr>
              <w:spacing w:after="0" w:line="240" w:lineRule="auto"/>
              <w:jc w:val="both"/>
              <w:rPr>
                <w:rFonts w:ascii="Garamond" w:hAnsi="Garamond"/>
                <w:sz w:val="20"/>
                <w:szCs w:val="20"/>
              </w:rPr>
            </w:pPr>
            <w:r w:rsidRPr="00837C05">
              <w:rPr>
                <w:rFonts w:ascii="Garamond" w:hAnsi="Garamond"/>
                <w:sz w:val="20"/>
                <w:szCs w:val="20"/>
              </w:rPr>
              <w:t>I. Při výkladu zákonné výluky z povinnosti poskytovat informace, které by bylo nutno nově vytvářet (§ 2 odst. 4 zákona č. 106/1999 Sb., o svobodném přístupu k informacím), je nutno rozlišovat mezi situacemi, kdy výtahy z</w:t>
            </w:r>
            <w:r w:rsidR="00321605">
              <w:rPr>
                <w:rFonts w:ascii="Garamond" w:hAnsi="Garamond"/>
                <w:sz w:val="20"/>
                <w:szCs w:val="20"/>
              </w:rPr>
              <w:t> </w:t>
            </w:r>
            <w:r w:rsidRPr="00837C05">
              <w:rPr>
                <w:rFonts w:ascii="Garamond" w:hAnsi="Garamond"/>
                <w:sz w:val="20"/>
                <w:szCs w:val="20"/>
              </w:rPr>
              <w:t>existujících dokumentů představují pouze jednoduchou operaci, a případy, kdy k vytvoření odpovědi na žádost nestačí pouhé mechanické vyhledání a shromáždění údajů, které má povinný subjekt k dispozici, a je tak nezbytné s</w:t>
            </w:r>
            <w:r w:rsidR="00321605">
              <w:rPr>
                <w:rFonts w:ascii="Garamond" w:hAnsi="Garamond"/>
                <w:sz w:val="20"/>
                <w:szCs w:val="20"/>
              </w:rPr>
              <w:t> </w:t>
            </w:r>
            <w:r w:rsidRPr="00837C05">
              <w:rPr>
                <w:rFonts w:ascii="Garamond" w:hAnsi="Garamond"/>
                <w:sz w:val="20"/>
                <w:szCs w:val="20"/>
              </w:rPr>
              <w:t>těmito údaji provádět další zpracovávání nad rámec prostého „vtělení“ do odpovědi na žádost. Nelze přitom vycházet toliko z pracnosti, či doby, která by byla potřebná pro přípravu odpovědi na žádost (shromáždění informací). Tyto faktory zákon zohledňuje institutem mimořádně rozsáhlého vyhledání informací (§ 17 odst. 1 citovaného zákona).</w:t>
            </w:r>
          </w:p>
        </w:tc>
      </w:tr>
      <w:tr w:rsidR="00166359" w:rsidRPr="00E61ABE" w:rsidTr="00166359">
        <w:trPr>
          <w:tblCellSpacing w:w="15" w:type="dxa"/>
        </w:trPr>
        <w:tc>
          <w:tcPr>
            <w:tcW w:w="0" w:type="auto"/>
            <w:shd w:val="clear" w:color="auto" w:fill="FFFFFF"/>
            <w:vAlign w:val="center"/>
            <w:hideMark/>
          </w:tcPr>
          <w:p w:rsidR="00166359" w:rsidRPr="00837C05" w:rsidRDefault="00166359" w:rsidP="00837C05">
            <w:pPr>
              <w:spacing w:after="0" w:line="240" w:lineRule="auto"/>
              <w:jc w:val="both"/>
              <w:rPr>
                <w:rFonts w:ascii="Garamond" w:hAnsi="Garamond"/>
                <w:sz w:val="20"/>
                <w:szCs w:val="20"/>
              </w:rPr>
            </w:pPr>
            <w:r w:rsidRPr="00837C05">
              <w:rPr>
                <w:rFonts w:ascii="Garamond" w:hAnsi="Garamond"/>
                <w:sz w:val="20"/>
                <w:szCs w:val="20"/>
              </w:rPr>
              <w:t>II. Odmítnout žádost o informace s tím, že by bylo nutné vytvořit nové informace (§ 2 odst. 4 zákona č. 106/1999 Sb., o svobodném přístupu k informacím) lze pouze v případě, že povinný subjekt nemá povinnost předmětnými informacemi disponovat.</w:t>
            </w:r>
          </w:p>
        </w:tc>
      </w:tr>
      <w:tr w:rsidR="00166359" w:rsidRPr="00E61ABE" w:rsidTr="00166359">
        <w:trPr>
          <w:tblCellSpacing w:w="15" w:type="dxa"/>
        </w:trPr>
        <w:tc>
          <w:tcPr>
            <w:tcW w:w="0" w:type="auto"/>
            <w:shd w:val="clear" w:color="auto" w:fill="FFFFFF"/>
            <w:vAlign w:val="center"/>
            <w:hideMark/>
          </w:tcPr>
          <w:p w:rsidR="00166359" w:rsidRPr="00837C05" w:rsidRDefault="00166359" w:rsidP="00837C05">
            <w:pPr>
              <w:spacing w:after="0" w:line="240" w:lineRule="auto"/>
              <w:jc w:val="both"/>
              <w:rPr>
                <w:rFonts w:ascii="Garamond" w:hAnsi="Garamond"/>
                <w:sz w:val="20"/>
                <w:szCs w:val="20"/>
              </w:rPr>
            </w:pPr>
            <w:r w:rsidRPr="00837C05">
              <w:rPr>
                <w:rFonts w:ascii="Garamond" w:hAnsi="Garamond"/>
                <w:sz w:val="20"/>
                <w:szCs w:val="20"/>
              </w:rPr>
              <w:t xml:space="preserve">(Podle rozsudku Nejvyššího správního soudu ze dne </w:t>
            </w:r>
            <w:proofErr w:type="gramStart"/>
            <w:r w:rsidRPr="00837C05">
              <w:rPr>
                <w:rFonts w:ascii="Garamond" w:hAnsi="Garamond"/>
                <w:sz w:val="20"/>
                <w:szCs w:val="20"/>
              </w:rPr>
              <w:t>09.02.2012</w:t>
            </w:r>
            <w:proofErr w:type="gramEnd"/>
            <w:r w:rsidRPr="00837C05">
              <w:rPr>
                <w:rFonts w:ascii="Garamond" w:hAnsi="Garamond"/>
                <w:sz w:val="20"/>
                <w:szCs w:val="20"/>
              </w:rPr>
              <w:t xml:space="preserve">, </w:t>
            </w:r>
            <w:proofErr w:type="spellStart"/>
            <w:r w:rsidRPr="00837C05">
              <w:rPr>
                <w:rFonts w:ascii="Garamond" w:hAnsi="Garamond"/>
                <w:sz w:val="20"/>
                <w:szCs w:val="20"/>
              </w:rPr>
              <w:t>čj</w:t>
            </w:r>
            <w:proofErr w:type="spellEnd"/>
            <w:r w:rsidRPr="00837C05">
              <w:rPr>
                <w:rFonts w:ascii="Garamond" w:hAnsi="Garamond"/>
                <w:sz w:val="20"/>
                <w:szCs w:val="20"/>
              </w:rPr>
              <w:t>. 1 As 141/2011 - 67)</w:t>
            </w:r>
          </w:p>
        </w:tc>
      </w:tr>
    </w:tbl>
    <w:p w:rsidR="00166359" w:rsidRPr="00E61ABE" w:rsidRDefault="00166359"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FF05FC" w:rsidRPr="00E61ABE" w:rsidTr="00FF05FC">
        <w:trPr>
          <w:tblCellSpacing w:w="15" w:type="dxa"/>
        </w:trPr>
        <w:tc>
          <w:tcPr>
            <w:tcW w:w="0" w:type="auto"/>
            <w:shd w:val="clear" w:color="auto" w:fill="FFFFFF"/>
            <w:vAlign w:val="center"/>
            <w:hideMark/>
          </w:tcPr>
          <w:p w:rsidR="00FF05FC" w:rsidRPr="00E61ABE" w:rsidRDefault="00C25628" w:rsidP="00E61ABE">
            <w:pPr>
              <w:spacing w:after="0" w:line="240" w:lineRule="auto"/>
              <w:rPr>
                <w:rFonts w:ascii="Garamond" w:hAnsi="Garamond"/>
                <w:sz w:val="20"/>
                <w:szCs w:val="20"/>
                <w:shd w:val="clear" w:color="auto" w:fill="FFFFFF"/>
              </w:rPr>
            </w:pPr>
            <w:hyperlink r:id="rId7" w:history="1">
              <w:r w:rsidR="00FF05FC" w:rsidRPr="00E61ABE">
                <w:rPr>
                  <w:rStyle w:val="Hypertextovodkaz"/>
                  <w:rFonts w:ascii="Garamond" w:hAnsi="Garamond"/>
                  <w:b/>
                  <w:bCs/>
                  <w:color w:val="auto"/>
                  <w:sz w:val="20"/>
                  <w:szCs w:val="20"/>
                  <w:shd w:val="clear" w:color="auto" w:fill="FFFFFF"/>
                </w:rPr>
                <w:t>Číslo: 2/2012</w:t>
              </w:r>
            </w:hyperlink>
            <w:r w:rsidR="00FF05FC" w:rsidRPr="00E61ABE">
              <w:rPr>
                <w:rStyle w:val="apple-converted-space"/>
                <w:rFonts w:ascii="Garamond" w:hAnsi="Garamond"/>
                <w:sz w:val="20"/>
                <w:szCs w:val="20"/>
                <w:shd w:val="clear" w:color="auto" w:fill="FFFFFF"/>
              </w:rPr>
              <w:t> </w:t>
            </w:r>
            <w:r w:rsidR="00FF05FC" w:rsidRPr="00E61ABE">
              <w:rPr>
                <w:rFonts w:ascii="Garamond" w:hAnsi="Garamond"/>
                <w:sz w:val="20"/>
                <w:szCs w:val="20"/>
              </w:rPr>
              <w:br/>
            </w:r>
            <w:r w:rsidR="00FF05FC" w:rsidRPr="00E61ABE">
              <w:rPr>
                <w:rFonts w:ascii="Garamond" w:hAnsi="Garamond"/>
                <w:sz w:val="20"/>
                <w:szCs w:val="20"/>
                <w:shd w:val="clear" w:color="auto" w:fill="FFFFFF"/>
              </w:rPr>
              <w:t xml:space="preserve">Ročník: </w:t>
            </w:r>
            <w:r w:rsidR="00166359" w:rsidRPr="00E61ABE">
              <w:rPr>
                <w:rFonts w:ascii="Garamond" w:hAnsi="Garamond"/>
                <w:sz w:val="20"/>
                <w:szCs w:val="20"/>
                <w:shd w:val="clear" w:color="auto" w:fill="FFFFFF"/>
              </w:rPr>
              <w:t>1</w:t>
            </w:r>
            <w:r w:rsidR="00FF05FC" w:rsidRPr="00E61ABE">
              <w:rPr>
                <w:rFonts w:ascii="Garamond" w:hAnsi="Garamond"/>
                <w:sz w:val="20"/>
                <w:szCs w:val="20"/>
                <w:shd w:val="clear" w:color="auto" w:fill="FFFFFF"/>
              </w:rPr>
              <w:t>0</w:t>
            </w:r>
          </w:p>
          <w:p w:rsidR="00FF05FC" w:rsidRPr="00E61ABE" w:rsidRDefault="00FF05FC" w:rsidP="00E61ABE">
            <w:pPr>
              <w:spacing w:after="0" w:line="240" w:lineRule="auto"/>
              <w:rPr>
                <w:rFonts w:ascii="Garamond" w:hAnsi="Garamond"/>
                <w:sz w:val="20"/>
                <w:szCs w:val="20"/>
                <w:shd w:val="clear" w:color="auto" w:fill="FFFFFF"/>
              </w:rPr>
            </w:pPr>
          </w:p>
          <w:p w:rsidR="00FF05FC" w:rsidRPr="00E61ABE" w:rsidRDefault="00FF05FC"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2494</w:t>
            </w:r>
          </w:p>
        </w:tc>
      </w:tr>
      <w:tr w:rsidR="00FF05FC" w:rsidRPr="00E61ABE" w:rsidTr="00FF05FC">
        <w:trPr>
          <w:tblCellSpacing w:w="15" w:type="dxa"/>
        </w:trPr>
        <w:tc>
          <w:tcPr>
            <w:tcW w:w="0" w:type="auto"/>
            <w:shd w:val="clear" w:color="auto" w:fill="FFFFFF"/>
            <w:vAlign w:val="center"/>
            <w:hideMark/>
          </w:tcPr>
          <w:p w:rsidR="00FF05FC" w:rsidRPr="00E61ABE" w:rsidRDefault="00FF05FC"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Právo na informace: veřejná instituce</w:t>
            </w:r>
          </w:p>
        </w:tc>
      </w:tr>
      <w:tr w:rsidR="00FF05FC" w:rsidRPr="00E61ABE" w:rsidTr="00FF05FC">
        <w:trPr>
          <w:tblCellSpacing w:w="15" w:type="dxa"/>
        </w:trPr>
        <w:tc>
          <w:tcPr>
            <w:tcW w:w="0" w:type="auto"/>
            <w:shd w:val="clear" w:color="auto" w:fill="FFFFFF"/>
            <w:vAlign w:val="center"/>
            <w:hideMark/>
          </w:tcPr>
          <w:p w:rsidR="00FF05FC" w:rsidRPr="00837C05" w:rsidRDefault="00FF05FC" w:rsidP="00837C05">
            <w:pPr>
              <w:spacing w:after="0" w:line="240" w:lineRule="auto"/>
              <w:jc w:val="both"/>
              <w:rPr>
                <w:rFonts w:ascii="Garamond" w:hAnsi="Garamond"/>
                <w:sz w:val="20"/>
                <w:szCs w:val="20"/>
              </w:rPr>
            </w:pPr>
            <w:r w:rsidRPr="00837C05">
              <w:rPr>
                <w:rFonts w:ascii="Garamond" w:hAnsi="Garamond"/>
                <w:sz w:val="20"/>
                <w:szCs w:val="20"/>
              </w:rPr>
              <w:t>Dopravní podnik hl. m. Prahy, akciová společnost, je veřejnou institucí ve smyslu § 2 odst. 1 zákona č. 106/1999 Sb., o svobodném přístupu k informacím.</w:t>
            </w:r>
          </w:p>
        </w:tc>
      </w:tr>
      <w:tr w:rsidR="00FF05FC" w:rsidRPr="00E61ABE" w:rsidTr="00FF05FC">
        <w:trPr>
          <w:tblCellSpacing w:w="15" w:type="dxa"/>
        </w:trPr>
        <w:tc>
          <w:tcPr>
            <w:tcW w:w="0" w:type="auto"/>
            <w:shd w:val="clear" w:color="auto" w:fill="FFFFFF"/>
            <w:vAlign w:val="center"/>
            <w:hideMark/>
          </w:tcPr>
          <w:p w:rsidR="00FF05FC" w:rsidRPr="00837C05" w:rsidRDefault="00FF05FC" w:rsidP="00837C05">
            <w:pPr>
              <w:spacing w:after="0" w:line="240" w:lineRule="auto"/>
              <w:jc w:val="both"/>
              <w:rPr>
                <w:rFonts w:ascii="Garamond" w:hAnsi="Garamond"/>
                <w:sz w:val="20"/>
                <w:szCs w:val="20"/>
              </w:rPr>
            </w:pPr>
            <w:r w:rsidRPr="00837C05">
              <w:rPr>
                <w:rFonts w:ascii="Garamond" w:hAnsi="Garamond"/>
                <w:sz w:val="20"/>
                <w:szCs w:val="20"/>
              </w:rPr>
              <w:t xml:space="preserve">(Podle rozsudku Nejvyššího správního soudu ze dne </w:t>
            </w:r>
            <w:proofErr w:type="gramStart"/>
            <w:r w:rsidRPr="00837C05">
              <w:rPr>
                <w:rFonts w:ascii="Garamond" w:hAnsi="Garamond"/>
                <w:sz w:val="20"/>
                <w:szCs w:val="20"/>
              </w:rPr>
              <w:t>19.10.2011</w:t>
            </w:r>
            <w:proofErr w:type="gramEnd"/>
            <w:r w:rsidRPr="00837C05">
              <w:rPr>
                <w:rFonts w:ascii="Garamond" w:hAnsi="Garamond"/>
                <w:sz w:val="20"/>
                <w:szCs w:val="20"/>
              </w:rPr>
              <w:t xml:space="preserve">, </w:t>
            </w:r>
            <w:proofErr w:type="spellStart"/>
            <w:r w:rsidRPr="00837C05">
              <w:rPr>
                <w:rFonts w:ascii="Garamond" w:hAnsi="Garamond"/>
                <w:sz w:val="20"/>
                <w:szCs w:val="20"/>
              </w:rPr>
              <w:t>čj</w:t>
            </w:r>
            <w:proofErr w:type="spellEnd"/>
            <w:r w:rsidRPr="00837C05">
              <w:rPr>
                <w:rFonts w:ascii="Garamond" w:hAnsi="Garamond"/>
                <w:sz w:val="20"/>
                <w:szCs w:val="20"/>
              </w:rPr>
              <w:t>. 1 As 114/2011 - 121)</w:t>
            </w:r>
          </w:p>
        </w:tc>
      </w:tr>
    </w:tbl>
    <w:p w:rsidR="00FF05FC" w:rsidRPr="00E61ABE" w:rsidRDefault="00FF05FC"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FF05FC" w:rsidRPr="00E61ABE" w:rsidTr="00FF05FC">
        <w:trPr>
          <w:tblCellSpacing w:w="15" w:type="dxa"/>
        </w:trPr>
        <w:tc>
          <w:tcPr>
            <w:tcW w:w="0" w:type="auto"/>
            <w:shd w:val="clear" w:color="auto" w:fill="FFFFFF"/>
            <w:vAlign w:val="center"/>
            <w:hideMark/>
          </w:tcPr>
          <w:p w:rsidR="00FF05FC" w:rsidRPr="00E61ABE" w:rsidRDefault="00C25628" w:rsidP="00E61ABE">
            <w:pPr>
              <w:spacing w:after="0" w:line="240" w:lineRule="auto"/>
              <w:rPr>
                <w:rFonts w:ascii="Garamond" w:hAnsi="Garamond"/>
                <w:sz w:val="20"/>
                <w:szCs w:val="20"/>
                <w:shd w:val="clear" w:color="auto" w:fill="FFFFFF"/>
              </w:rPr>
            </w:pPr>
            <w:hyperlink r:id="rId8" w:history="1">
              <w:r w:rsidR="00FF05FC" w:rsidRPr="00E61ABE">
                <w:rPr>
                  <w:rStyle w:val="Hypertextovodkaz"/>
                  <w:rFonts w:ascii="Garamond" w:hAnsi="Garamond"/>
                  <w:b/>
                  <w:bCs/>
                  <w:color w:val="auto"/>
                  <w:sz w:val="20"/>
                  <w:szCs w:val="20"/>
                  <w:shd w:val="clear" w:color="auto" w:fill="FFFFFF"/>
                </w:rPr>
                <w:t>Číslo: 2/2012</w:t>
              </w:r>
            </w:hyperlink>
            <w:r w:rsidR="00FF05FC" w:rsidRPr="00E61ABE">
              <w:rPr>
                <w:rStyle w:val="apple-converted-space"/>
                <w:rFonts w:ascii="Garamond" w:hAnsi="Garamond"/>
                <w:sz w:val="20"/>
                <w:szCs w:val="20"/>
                <w:shd w:val="clear" w:color="auto" w:fill="FFFFFF"/>
              </w:rPr>
              <w:t> </w:t>
            </w:r>
            <w:r w:rsidR="00FF05FC" w:rsidRPr="00E61ABE">
              <w:rPr>
                <w:rFonts w:ascii="Garamond" w:hAnsi="Garamond"/>
                <w:sz w:val="20"/>
                <w:szCs w:val="20"/>
              </w:rPr>
              <w:br/>
            </w:r>
            <w:r w:rsidR="00FF05FC" w:rsidRPr="00E61ABE">
              <w:rPr>
                <w:rFonts w:ascii="Garamond" w:hAnsi="Garamond"/>
                <w:sz w:val="20"/>
                <w:szCs w:val="20"/>
                <w:shd w:val="clear" w:color="auto" w:fill="FFFFFF"/>
              </w:rPr>
              <w:t xml:space="preserve">Ročník: </w:t>
            </w:r>
            <w:r w:rsidR="00166359" w:rsidRPr="00E61ABE">
              <w:rPr>
                <w:rFonts w:ascii="Garamond" w:hAnsi="Garamond"/>
                <w:sz w:val="20"/>
                <w:szCs w:val="20"/>
                <w:shd w:val="clear" w:color="auto" w:fill="FFFFFF"/>
              </w:rPr>
              <w:t>1</w:t>
            </w:r>
            <w:r w:rsidR="00FF05FC" w:rsidRPr="00E61ABE">
              <w:rPr>
                <w:rFonts w:ascii="Garamond" w:hAnsi="Garamond"/>
                <w:sz w:val="20"/>
                <w:szCs w:val="20"/>
                <w:shd w:val="clear" w:color="auto" w:fill="FFFFFF"/>
              </w:rPr>
              <w:t>0</w:t>
            </w:r>
          </w:p>
          <w:p w:rsidR="00FF05FC" w:rsidRPr="00E61ABE" w:rsidRDefault="00FF05FC" w:rsidP="00E61ABE">
            <w:pPr>
              <w:spacing w:after="0" w:line="240" w:lineRule="auto"/>
              <w:rPr>
                <w:rFonts w:ascii="Garamond" w:hAnsi="Garamond"/>
                <w:sz w:val="20"/>
                <w:szCs w:val="20"/>
                <w:shd w:val="clear" w:color="auto" w:fill="FFFFFF"/>
              </w:rPr>
            </w:pPr>
          </w:p>
          <w:p w:rsidR="00FF05FC" w:rsidRPr="00E61ABE" w:rsidRDefault="00FF05FC"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2493</w:t>
            </w:r>
          </w:p>
        </w:tc>
      </w:tr>
      <w:tr w:rsidR="00FF05FC" w:rsidRPr="00E61ABE" w:rsidTr="00FF05FC">
        <w:trPr>
          <w:tblCellSpacing w:w="15" w:type="dxa"/>
        </w:trPr>
        <w:tc>
          <w:tcPr>
            <w:tcW w:w="0" w:type="auto"/>
            <w:shd w:val="clear" w:color="auto" w:fill="FFFFFF"/>
            <w:vAlign w:val="center"/>
            <w:hideMark/>
          </w:tcPr>
          <w:p w:rsidR="00FF05FC" w:rsidRPr="00E61ABE" w:rsidRDefault="00FF05FC"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Právo na informace: výluka z práva na informace; názory povinného subjektu</w:t>
            </w:r>
          </w:p>
        </w:tc>
      </w:tr>
      <w:tr w:rsidR="00FF05FC" w:rsidRPr="00E61ABE" w:rsidTr="00FF05FC">
        <w:trPr>
          <w:tblCellSpacing w:w="15" w:type="dxa"/>
        </w:trPr>
        <w:tc>
          <w:tcPr>
            <w:tcW w:w="0" w:type="auto"/>
            <w:shd w:val="clear" w:color="auto" w:fill="FFFFFF"/>
            <w:vAlign w:val="center"/>
            <w:hideMark/>
          </w:tcPr>
          <w:p w:rsidR="00FF05FC" w:rsidRPr="00E61ABE" w:rsidRDefault="00FF05FC" w:rsidP="003216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Výluka z </w:t>
            </w:r>
            <w:r w:rsidRPr="00837C05">
              <w:rPr>
                <w:rFonts w:ascii="Garamond" w:hAnsi="Garamond"/>
                <w:sz w:val="20"/>
                <w:szCs w:val="20"/>
              </w:rPr>
              <w:t>práva</w:t>
            </w:r>
            <w:r w:rsidRPr="00E61ABE">
              <w:rPr>
                <w:rFonts w:ascii="Garamond" w:eastAsia="Times New Roman" w:hAnsi="Garamond" w:cs="Times New Roman"/>
                <w:sz w:val="20"/>
                <w:szCs w:val="20"/>
                <w:lang w:eastAsia="cs-CZ"/>
              </w:rPr>
              <w:t xml:space="preserve"> na informace obsažená v § 2 odst. 4 zákona č. 106/1999 Sb., o svobodném přístupu k informacím, se</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týká pouze těch názorů povinného subjektu, které dosud nebyly formálně zaujaty. Nedopadá tak na případy, kdy názory povinného subjektu byly zachyceny na jakýkoliv nosič (typicky na list papíru, v elektronickém dokumentu).</w:t>
            </w:r>
          </w:p>
        </w:tc>
      </w:tr>
      <w:tr w:rsidR="00FF05FC" w:rsidRPr="00E61ABE" w:rsidTr="00FF05FC">
        <w:trPr>
          <w:tblCellSpacing w:w="15" w:type="dxa"/>
        </w:trPr>
        <w:tc>
          <w:tcPr>
            <w:tcW w:w="0" w:type="auto"/>
            <w:shd w:val="clear" w:color="auto" w:fill="FFFFFF"/>
            <w:vAlign w:val="center"/>
            <w:hideMark/>
          </w:tcPr>
          <w:p w:rsidR="00FF05FC" w:rsidRPr="00E61ABE" w:rsidRDefault="00FF05FC"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(Podle rozsudku Nejvyššího správního soudu ze dne </w:t>
            </w:r>
            <w:proofErr w:type="gramStart"/>
            <w:r w:rsidRPr="00E61ABE">
              <w:rPr>
                <w:rFonts w:ascii="Garamond" w:eastAsia="Times New Roman" w:hAnsi="Garamond" w:cs="Times New Roman"/>
                <w:sz w:val="20"/>
                <w:szCs w:val="20"/>
                <w:lang w:eastAsia="cs-CZ"/>
              </w:rPr>
              <w:t>19.10.2011</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1 As 107/2011 - 70)</w:t>
            </w:r>
          </w:p>
        </w:tc>
      </w:tr>
    </w:tbl>
    <w:p w:rsidR="004916A1" w:rsidRPr="00E61ABE" w:rsidRDefault="004916A1"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4916A1" w:rsidRPr="00E61ABE" w:rsidTr="004916A1">
        <w:trPr>
          <w:tblCellSpacing w:w="15" w:type="dxa"/>
        </w:trPr>
        <w:tc>
          <w:tcPr>
            <w:tcW w:w="0" w:type="auto"/>
            <w:shd w:val="clear" w:color="auto" w:fill="FFFFFF"/>
            <w:vAlign w:val="center"/>
            <w:hideMark/>
          </w:tcPr>
          <w:p w:rsidR="004916A1" w:rsidRPr="00E61ABE" w:rsidRDefault="00C25628" w:rsidP="00E61ABE">
            <w:pPr>
              <w:spacing w:after="0" w:line="240" w:lineRule="auto"/>
              <w:rPr>
                <w:rStyle w:val="apple-converted-space"/>
                <w:rFonts w:ascii="Garamond" w:hAnsi="Garamond"/>
                <w:sz w:val="20"/>
                <w:szCs w:val="20"/>
                <w:shd w:val="clear" w:color="auto" w:fill="FFFFFF"/>
              </w:rPr>
            </w:pPr>
            <w:hyperlink r:id="rId9" w:history="1">
              <w:r w:rsidR="004916A1" w:rsidRPr="00E61ABE">
                <w:rPr>
                  <w:rStyle w:val="Hypertextovodkaz"/>
                  <w:rFonts w:ascii="Garamond" w:hAnsi="Garamond"/>
                  <w:b/>
                  <w:bCs/>
                  <w:color w:val="auto"/>
                  <w:sz w:val="20"/>
                  <w:szCs w:val="20"/>
                  <w:shd w:val="clear" w:color="auto" w:fill="FFFFFF"/>
                </w:rPr>
                <w:t>Číslo: 1/2012</w:t>
              </w:r>
            </w:hyperlink>
            <w:r w:rsidR="004916A1" w:rsidRPr="00E61ABE">
              <w:rPr>
                <w:rStyle w:val="apple-converted-space"/>
                <w:rFonts w:ascii="Garamond" w:hAnsi="Garamond"/>
                <w:sz w:val="20"/>
                <w:szCs w:val="20"/>
                <w:shd w:val="clear" w:color="auto" w:fill="FFFFFF"/>
              </w:rPr>
              <w:t> </w:t>
            </w:r>
            <w:r w:rsidR="004916A1" w:rsidRPr="00E61ABE">
              <w:rPr>
                <w:rFonts w:ascii="Garamond" w:hAnsi="Garamond"/>
                <w:sz w:val="20"/>
                <w:szCs w:val="20"/>
              </w:rPr>
              <w:br/>
            </w:r>
            <w:r w:rsidR="004916A1" w:rsidRPr="00E61ABE">
              <w:rPr>
                <w:rFonts w:ascii="Garamond" w:hAnsi="Garamond"/>
                <w:sz w:val="20"/>
                <w:szCs w:val="20"/>
                <w:shd w:val="clear" w:color="auto" w:fill="FFFFFF"/>
              </w:rPr>
              <w:t xml:space="preserve">Ročník: </w:t>
            </w:r>
            <w:r w:rsidR="00166359" w:rsidRPr="00E61ABE">
              <w:rPr>
                <w:rFonts w:ascii="Garamond" w:hAnsi="Garamond"/>
                <w:sz w:val="20"/>
                <w:szCs w:val="20"/>
                <w:shd w:val="clear" w:color="auto" w:fill="FFFFFF"/>
              </w:rPr>
              <w:t>1</w:t>
            </w:r>
            <w:r w:rsidR="004916A1" w:rsidRPr="00E61ABE">
              <w:rPr>
                <w:rFonts w:ascii="Garamond" w:hAnsi="Garamond"/>
                <w:sz w:val="20"/>
                <w:szCs w:val="20"/>
                <w:shd w:val="clear" w:color="auto" w:fill="FFFFFF"/>
              </w:rPr>
              <w:t>0</w:t>
            </w:r>
            <w:r w:rsidR="004916A1" w:rsidRPr="00E61ABE">
              <w:rPr>
                <w:rStyle w:val="apple-converted-space"/>
                <w:rFonts w:ascii="Garamond" w:hAnsi="Garamond"/>
                <w:sz w:val="20"/>
                <w:szCs w:val="20"/>
                <w:shd w:val="clear" w:color="auto" w:fill="FFFFFF"/>
              </w:rPr>
              <w:t> </w:t>
            </w:r>
          </w:p>
          <w:p w:rsidR="004916A1" w:rsidRPr="00E61ABE" w:rsidRDefault="004916A1" w:rsidP="00E61ABE">
            <w:pPr>
              <w:spacing w:after="0" w:line="240" w:lineRule="auto"/>
              <w:rPr>
                <w:rStyle w:val="apple-converted-space"/>
                <w:rFonts w:ascii="Garamond" w:hAnsi="Garamond"/>
                <w:sz w:val="20"/>
                <w:szCs w:val="20"/>
                <w:shd w:val="clear" w:color="auto" w:fill="FFFFFF"/>
              </w:rPr>
            </w:pPr>
          </w:p>
          <w:p w:rsidR="004916A1" w:rsidRPr="00E61ABE" w:rsidRDefault="004916A1"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2462</w:t>
            </w:r>
          </w:p>
        </w:tc>
      </w:tr>
      <w:tr w:rsidR="004916A1" w:rsidRPr="00E61ABE" w:rsidTr="004916A1">
        <w:trPr>
          <w:tblCellSpacing w:w="15" w:type="dxa"/>
        </w:trPr>
        <w:tc>
          <w:tcPr>
            <w:tcW w:w="0" w:type="auto"/>
            <w:shd w:val="clear" w:color="auto" w:fill="FFFFFF"/>
            <w:vAlign w:val="center"/>
            <w:hideMark/>
          </w:tcPr>
          <w:p w:rsidR="004916A1" w:rsidRPr="00E61ABE" w:rsidRDefault="004916A1"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Svobodný přístup k informacím: poskytnutí informací z dozorového spisu státního zástupce</w:t>
            </w:r>
          </w:p>
        </w:tc>
      </w:tr>
      <w:tr w:rsidR="004916A1" w:rsidRPr="00E61ABE" w:rsidTr="004916A1">
        <w:trPr>
          <w:tblCellSpacing w:w="15" w:type="dxa"/>
        </w:trPr>
        <w:tc>
          <w:tcPr>
            <w:tcW w:w="0" w:type="auto"/>
            <w:shd w:val="clear" w:color="auto" w:fill="FFFFFF"/>
            <w:vAlign w:val="center"/>
            <w:hideMark/>
          </w:tcPr>
          <w:p w:rsidR="004916A1" w:rsidRPr="00E61ABE" w:rsidRDefault="004916A1" w:rsidP="00837C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Rozhodnutí státního zastupitelství o žádosti o poskytnutí informací z dozorového spisu státního zástupce podléhá přezkumu ve správním soudnictví (§ 4 odst. 1 s. </w:t>
            </w:r>
            <w:proofErr w:type="spellStart"/>
            <w:r w:rsidRPr="00E61ABE">
              <w:rPr>
                <w:rFonts w:ascii="Garamond" w:eastAsia="Times New Roman" w:hAnsi="Garamond" w:cs="Times New Roman"/>
                <w:sz w:val="20"/>
                <w:szCs w:val="20"/>
                <w:lang w:eastAsia="cs-CZ"/>
              </w:rPr>
              <w:t>ř</w:t>
            </w:r>
            <w:proofErr w:type="spellEnd"/>
            <w:r w:rsidRPr="00E61ABE">
              <w:rPr>
                <w:rFonts w:ascii="Garamond" w:eastAsia="Times New Roman" w:hAnsi="Garamond" w:cs="Times New Roman"/>
                <w:sz w:val="20"/>
                <w:szCs w:val="20"/>
                <w:lang w:eastAsia="cs-CZ"/>
              </w:rPr>
              <w:t>. s.).</w:t>
            </w:r>
          </w:p>
        </w:tc>
      </w:tr>
      <w:tr w:rsidR="004916A1" w:rsidRPr="00E61ABE" w:rsidTr="004916A1">
        <w:trPr>
          <w:tblCellSpacing w:w="15" w:type="dxa"/>
        </w:trPr>
        <w:tc>
          <w:tcPr>
            <w:tcW w:w="0" w:type="auto"/>
            <w:shd w:val="clear" w:color="auto" w:fill="FFFFFF"/>
            <w:vAlign w:val="center"/>
            <w:hideMark/>
          </w:tcPr>
          <w:p w:rsidR="004916A1" w:rsidRPr="00E61ABE" w:rsidRDefault="004916A1"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lastRenderedPageBreak/>
              <w:t xml:space="preserve">(Podle rozsudku Nejvyššího správního soudu ze dne </w:t>
            </w:r>
            <w:proofErr w:type="gramStart"/>
            <w:r w:rsidRPr="00E61ABE">
              <w:rPr>
                <w:rFonts w:ascii="Garamond" w:eastAsia="Times New Roman" w:hAnsi="Garamond" w:cs="Times New Roman"/>
                <w:sz w:val="20"/>
                <w:szCs w:val="20"/>
                <w:lang w:eastAsia="cs-CZ"/>
              </w:rPr>
              <w:t>04.10.2011</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2 As 93/2011 - 79)</w:t>
            </w:r>
          </w:p>
        </w:tc>
      </w:tr>
    </w:tbl>
    <w:p w:rsidR="004916A1" w:rsidRPr="00E61ABE" w:rsidRDefault="004916A1"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FD2AB7" w:rsidRPr="00E61ABE" w:rsidTr="00FD2AB7">
        <w:trPr>
          <w:tblCellSpacing w:w="15" w:type="dxa"/>
        </w:trPr>
        <w:tc>
          <w:tcPr>
            <w:tcW w:w="0" w:type="auto"/>
            <w:shd w:val="clear" w:color="auto" w:fill="FFFFFF"/>
            <w:vAlign w:val="center"/>
            <w:hideMark/>
          </w:tcPr>
          <w:p w:rsidR="00FD2AB7" w:rsidRPr="00E61ABE" w:rsidRDefault="00C25628" w:rsidP="00E61ABE">
            <w:pPr>
              <w:spacing w:after="0" w:line="240" w:lineRule="auto"/>
              <w:rPr>
                <w:rStyle w:val="apple-converted-space"/>
                <w:rFonts w:ascii="Garamond" w:hAnsi="Garamond"/>
                <w:sz w:val="20"/>
                <w:szCs w:val="20"/>
                <w:shd w:val="clear" w:color="auto" w:fill="FFFFFF"/>
              </w:rPr>
            </w:pPr>
            <w:hyperlink r:id="rId10" w:history="1">
              <w:r w:rsidR="00FD2AB7" w:rsidRPr="00E61ABE">
                <w:rPr>
                  <w:rStyle w:val="Hypertextovodkaz"/>
                  <w:rFonts w:ascii="Garamond" w:hAnsi="Garamond"/>
                  <w:b/>
                  <w:bCs/>
                  <w:color w:val="auto"/>
                  <w:sz w:val="20"/>
                  <w:szCs w:val="20"/>
                  <w:shd w:val="clear" w:color="auto" w:fill="FFFFFF"/>
                </w:rPr>
                <w:t>Číslo: 12/2011</w:t>
              </w:r>
            </w:hyperlink>
            <w:r w:rsidR="00FD2AB7" w:rsidRPr="00E61ABE">
              <w:rPr>
                <w:rStyle w:val="apple-converted-space"/>
                <w:rFonts w:ascii="Garamond" w:hAnsi="Garamond"/>
                <w:sz w:val="20"/>
                <w:szCs w:val="20"/>
                <w:shd w:val="clear" w:color="auto" w:fill="FFFFFF"/>
              </w:rPr>
              <w:t> </w:t>
            </w:r>
            <w:r w:rsidR="00FD2AB7" w:rsidRPr="00E61ABE">
              <w:rPr>
                <w:rFonts w:ascii="Garamond" w:hAnsi="Garamond"/>
                <w:sz w:val="20"/>
                <w:szCs w:val="20"/>
              </w:rPr>
              <w:br/>
            </w:r>
            <w:r w:rsidR="00FD2AB7" w:rsidRPr="00E61ABE">
              <w:rPr>
                <w:rFonts w:ascii="Garamond" w:hAnsi="Garamond"/>
                <w:sz w:val="20"/>
                <w:szCs w:val="20"/>
                <w:shd w:val="clear" w:color="auto" w:fill="FFFFFF"/>
              </w:rPr>
              <w:t>Ročník: 9</w:t>
            </w:r>
            <w:r w:rsidR="00FD2AB7" w:rsidRPr="00E61ABE">
              <w:rPr>
                <w:rStyle w:val="apple-converted-space"/>
                <w:rFonts w:ascii="Garamond" w:hAnsi="Garamond"/>
                <w:sz w:val="20"/>
                <w:szCs w:val="20"/>
                <w:shd w:val="clear" w:color="auto" w:fill="FFFFFF"/>
              </w:rPr>
              <w:t> </w:t>
            </w:r>
          </w:p>
          <w:p w:rsidR="00FD2AB7" w:rsidRPr="00E61ABE" w:rsidRDefault="00FD2AB7" w:rsidP="00E61ABE">
            <w:pPr>
              <w:spacing w:after="0" w:line="240" w:lineRule="auto"/>
              <w:rPr>
                <w:rStyle w:val="apple-converted-space"/>
                <w:rFonts w:ascii="Garamond" w:hAnsi="Garamond"/>
                <w:sz w:val="20"/>
                <w:szCs w:val="20"/>
                <w:shd w:val="clear" w:color="auto" w:fill="FFFFFF"/>
              </w:rPr>
            </w:pPr>
          </w:p>
          <w:p w:rsidR="00FD2AB7" w:rsidRPr="00E61ABE" w:rsidRDefault="00FD2AB7"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2443</w:t>
            </w:r>
          </w:p>
        </w:tc>
      </w:tr>
      <w:tr w:rsidR="00FD2AB7" w:rsidRPr="00E61ABE" w:rsidTr="00FD2AB7">
        <w:trPr>
          <w:tblCellSpacing w:w="15" w:type="dxa"/>
        </w:trPr>
        <w:tc>
          <w:tcPr>
            <w:tcW w:w="0" w:type="auto"/>
            <w:shd w:val="clear" w:color="auto" w:fill="FFFFFF"/>
            <w:vAlign w:val="center"/>
            <w:hideMark/>
          </w:tcPr>
          <w:p w:rsidR="00FD2AB7" w:rsidRPr="00E61ABE" w:rsidRDefault="00FD2AB7"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Opatření obecné povahy: negativní vymezení; sazebník úhrad za poskytování informací</w:t>
            </w:r>
          </w:p>
        </w:tc>
      </w:tr>
      <w:tr w:rsidR="00FD2AB7" w:rsidRPr="00E61ABE" w:rsidTr="00FD2AB7">
        <w:trPr>
          <w:tblCellSpacing w:w="15" w:type="dxa"/>
        </w:trPr>
        <w:tc>
          <w:tcPr>
            <w:tcW w:w="0" w:type="auto"/>
            <w:shd w:val="clear" w:color="auto" w:fill="FFFFFF"/>
            <w:vAlign w:val="center"/>
            <w:hideMark/>
          </w:tcPr>
          <w:p w:rsidR="00FD2AB7" w:rsidRPr="00E61ABE" w:rsidRDefault="00FD2AB7" w:rsidP="00837C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Sazebník úhrad za poskytování informací podle zákona č. 106/1999 Sb., o svobodném přístupu k informacím, vydaný ke sjednocení postupu zaměstnanců státní instituce a jen tyto zaměstnance také zavazující, není opatřením obecné povahy ve smyslu § 101a a </w:t>
            </w:r>
            <w:proofErr w:type="spellStart"/>
            <w:r w:rsidRPr="00E61ABE">
              <w:rPr>
                <w:rFonts w:ascii="Garamond" w:eastAsia="Times New Roman" w:hAnsi="Garamond" w:cs="Times New Roman"/>
                <w:sz w:val="20"/>
                <w:szCs w:val="20"/>
                <w:lang w:eastAsia="cs-CZ"/>
              </w:rPr>
              <w:t>násl</w:t>
            </w:r>
            <w:proofErr w:type="spellEnd"/>
            <w:r w:rsidRPr="00E61ABE">
              <w:rPr>
                <w:rFonts w:ascii="Garamond" w:eastAsia="Times New Roman" w:hAnsi="Garamond" w:cs="Times New Roman"/>
                <w:sz w:val="20"/>
                <w:szCs w:val="20"/>
                <w:lang w:eastAsia="cs-CZ"/>
              </w:rPr>
              <w:t xml:space="preserve">. s. </w:t>
            </w:r>
            <w:proofErr w:type="spellStart"/>
            <w:r w:rsidRPr="00E61ABE">
              <w:rPr>
                <w:rFonts w:ascii="Garamond" w:eastAsia="Times New Roman" w:hAnsi="Garamond" w:cs="Times New Roman"/>
                <w:sz w:val="20"/>
                <w:szCs w:val="20"/>
                <w:lang w:eastAsia="cs-CZ"/>
              </w:rPr>
              <w:t>ř</w:t>
            </w:r>
            <w:proofErr w:type="spellEnd"/>
            <w:r w:rsidRPr="00E61ABE">
              <w:rPr>
                <w:rFonts w:ascii="Garamond" w:eastAsia="Times New Roman" w:hAnsi="Garamond" w:cs="Times New Roman"/>
                <w:sz w:val="20"/>
                <w:szCs w:val="20"/>
                <w:lang w:eastAsia="cs-CZ"/>
              </w:rPr>
              <w:t xml:space="preserve">. s., resp. § 171 a </w:t>
            </w:r>
            <w:proofErr w:type="spellStart"/>
            <w:r w:rsidRPr="00E61ABE">
              <w:rPr>
                <w:rFonts w:ascii="Garamond" w:eastAsia="Times New Roman" w:hAnsi="Garamond" w:cs="Times New Roman"/>
                <w:sz w:val="20"/>
                <w:szCs w:val="20"/>
                <w:lang w:eastAsia="cs-CZ"/>
              </w:rPr>
              <w:t>násl</w:t>
            </w:r>
            <w:proofErr w:type="spellEnd"/>
            <w:r w:rsidRPr="00E61ABE">
              <w:rPr>
                <w:rFonts w:ascii="Garamond" w:eastAsia="Times New Roman" w:hAnsi="Garamond" w:cs="Times New Roman"/>
                <w:sz w:val="20"/>
                <w:szCs w:val="20"/>
                <w:lang w:eastAsia="cs-CZ"/>
              </w:rPr>
              <w:t xml:space="preserve">. správního řádu z roku 2004. Návrh na jeho zrušení postupem podle § 101a s. </w:t>
            </w:r>
            <w:proofErr w:type="spellStart"/>
            <w:r w:rsidRPr="00E61ABE">
              <w:rPr>
                <w:rFonts w:ascii="Garamond" w:eastAsia="Times New Roman" w:hAnsi="Garamond" w:cs="Times New Roman"/>
                <w:sz w:val="20"/>
                <w:szCs w:val="20"/>
                <w:lang w:eastAsia="cs-CZ"/>
              </w:rPr>
              <w:t>ř</w:t>
            </w:r>
            <w:proofErr w:type="spellEnd"/>
            <w:r w:rsidRPr="00E61ABE">
              <w:rPr>
                <w:rFonts w:ascii="Garamond" w:eastAsia="Times New Roman" w:hAnsi="Garamond" w:cs="Times New Roman"/>
                <w:sz w:val="20"/>
                <w:szCs w:val="20"/>
                <w:lang w:eastAsia="cs-CZ"/>
              </w:rPr>
              <w:t xml:space="preserve">. s. proto Nejvyšší správní soud odmítne [§ 46 odst. 1 písm. a) s. </w:t>
            </w:r>
            <w:proofErr w:type="spellStart"/>
            <w:r w:rsidRPr="00E61ABE">
              <w:rPr>
                <w:rFonts w:ascii="Garamond" w:eastAsia="Times New Roman" w:hAnsi="Garamond" w:cs="Times New Roman"/>
                <w:sz w:val="20"/>
                <w:szCs w:val="20"/>
                <w:lang w:eastAsia="cs-CZ"/>
              </w:rPr>
              <w:t>ř</w:t>
            </w:r>
            <w:proofErr w:type="spellEnd"/>
            <w:r w:rsidRPr="00E61ABE">
              <w:rPr>
                <w:rFonts w:ascii="Garamond" w:eastAsia="Times New Roman" w:hAnsi="Garamond" w:cs="Times New Roman"/>
                <w:sz w:val="20"/>
                <w:szCs w:val="20"/>
                <w:lang w:eastAsia="cs-CZ"/>
              </w:rPr>
              <w:t>. s.].</w:t>
            </w:r>
          </w:p>
        </w:tc>
      </w:tr>
      <w:tr w:rsidR="00FD2AB7" w:rsidRPr="00E61ABE" w:rsidTr="00FD2AB7">
        <w:trPr>
          <w:tblCellSpacing w:w="15" w:type="dxa"/>
        </w:trPr>
        <w:tc>
          <w:tcPr>
            <w:tcW w:w="0" w:type="auto"/>
            <w:shd w:val="clear" w:color="auto" w:fill="FFFFFF"/>
            <w:vAlign w:val="center"/>
            <w:hideMark/>
          </w:tcPr>
          <w:p w:rsidR="00FD2AB7" w:rsidRPr="00E61ABE" w:rsidRDefault="00FD2AB7"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(Podle rozsudku Nejvyššího správního soudu ze dne </w:t>
            </w:r>
            <w:proofErr w:type="gramStart"/>
            <w:r w:rsidRPr="00E61ABE">
              <w:rPr>
                <w:rFonts w:ascii="Garamond" w:eastAsia="Times New Roman" w:hAnsi="Garamond" w:cs="Times New Roman"/>
                <w:sz w:val="20"/>
                <w:szCs w:val="20"/>
                <w:lang w:eastAsia="cs-CZ"/>
              </w:rPr>
              <w:t>31.08.2011</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xml:space="preserve">. 8 </w:t>
            </w:r>
            <w:proofErr w:type="spellStart"/>
            <w:r w:rsidRPr="00E61ABE">
              <w:rPr>
                <w:rFonts w:ascii="Garamond" w:eastAsia="Times New Roman" w:hAnsi="Garamond" w:cs="Times New Roman"/>
                <w:sz w:val="20"/>
                <w:szCs w:val="20"/>
                <w:lang w:eastAsia="cs-CZ"/>
              </w:rPr>
              <w:t>Ao</w:t>
            </w:r>
            <w:proofErr w:type="spellEnd"/>
            <w:r w:rsidRPr="00E61ABE">
              <w:rPr>
                <w:rFonts w:ascii="Garamond" w:eastAsia="Times New Roman" w:hAnsi="Garamond" w:cs="Times New Roman"/>
                <w:sz w:val="20"/>
                <w:szCs w:val="20"/>
                <w:lang w:eastAsia="cs-CZ"/>
              </w:rPr>
              <w:t xml:space="preserve"> 4/2011 - 22)</w:t>
            </w:r>
          </w:p>
        </w:tc>
      </w:tr>
    </w:tbl>
    <w:p w:rsidR="00FD2AB7" w:rsidRPr="00E61ABE" w:rsidRDefault="00FD2AB7"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FD2AB7" w:rsidRPr="00E61ABE" w:rsidTr="00FD2AB7">
        <w:trPr>
          <w:tblCellSpacing w:w="15" w:type="dxa"/>
        </w:trPr>
        <w:tc>
          <w:tcPr>
            <w:tcW w:w="0" w:type="auto"/>
            <w:shd w:val="clear" w:color="auto" w:fill="FFFFFF"/>
            <w:vAlign w:val="center"/>
            <w:hideMark/>
          </w:tcPr>
          <w:p w:rsidR="00FD2AB7" w:rsidRPr="00E61ABE" w:rsidRDefault="00C25628" w:rsidP="00E61ABE">
            <w:pPr>
              <w:spacing w:after="0" w:line="240" w:lineRule="auto"/>
              <w:rPr>
                <w:rStyle w:val="apple-converted-space"/>
                <w:rFonts w:ascii="Garamond" w:hAnsi="Garamond"/>
                <w:sz w:val="20"/>
                <w:szCs w:val="20"/>
                <w:shd w:val="clear" w:color="auto" w:fill="FFFFFF"/>
              </w:rPr>
            </w:pPr>
            <w:hyperlink r:id="rId11" w:history="1">
              <w:r w:rsidR="00FD2AB7" w:rsidRPr="00E61ABE">
                <w:rPr>
                  <w:rStyle w:val="Hypertextovodkaz"/>
                  <w:rFonts w:ascii="Garamond" w:hAnsi="Garamond"/>
                  <w:b/>
                  <w:bCs/>
                  <w:color w:val="auto"/>
                  <w:sz w:val="20"/>
                  <w:szCs w:val="20"/>
                  <w:shd w:val="clear" w:color="auto" w:fill="FFFFFF"/>
                </w:rPr>
                <w:t>Číslo: 8/2011</w:t>
              </w:r>
            </w:hyperlink>
            <w:r w:rsidR="00FD2AB7" w:rsidRPr="00E61ABE">
              <w:rPr>
                <w:rStyle w:val="apple-converted-space"/>
                <w:rFonts w:ascii="Garamond" w:hAnsi="Garamond"/>
                <w:sz w:val="20"/>
                <w:szCs w:val="20"/>
                <w:shd w:val="clear" w:color="auto" w:fill="FFFFFF"/>
              </w:rPr>
              <w:t> </w:t>
            </w:r>
            <w:r w:rsidR="00FD2AB7" w:rsidRPr="00E61ABE">
              <w:rPr>
                <w:rFonts w:ascii="Garamond" w:hAnsi="Garamond"/>
                <w:sz w:val="20"/>
                <w:szCs w:val="20"/>
              </w:rPr>
              <w:br/>
            </w:r>
            <w:r w:rsidR="00FD2AB7" w:rsidRPr="00E61ABE">
              <w:rPr>
                <w:rFonts w:ascii="Garamond" w:hAnsi="Garamond"/>
                <w:sz w:val="20"/>
                <w:szCs w:val="20"/>
                <w:shd w:val="clear" w:color="auto" w:fill="FFFFFF"/>
              </w:rPr>
              <w:t>Ročník: 9</w:t>
            </w:r>
            <w:r w:rsidR="00FD2AB7" w:rsidRPr="00E61ABE">
              <w:rPr>
                <w:rStyle w:val="apple-converted-space"/>
                <w:rFonts w:ascii="Garamond" w:hAnsi="Garamond"/>
                <w:sz w:val="20"/>
                <w:szCs w:val="20"/>
                <w:shd w:val="clear" w:color="auto" w:fill="FFFFFF"/>
              </w:rPr>
              <w:t> </w:t>
            </w:r>
          </w:p>
          <w:p w:rsidR="00FD2AB7" w:rsidRPr="00E61ABE" w:rsidRDefault="00FD2AB7" w:rsidP="00E61ABE">
            <w:pPr>
              <w:spacing w:after="0" w:line="240" w:lineRule="auto"/>
              <w:rPr>
                <w:rStyle w:val="apple-converted-space"/>
                <w:rFonts w:ascii="Garamond" w:hAnsi="Garamond"/>
                <w:sz w:val="20"/>
                <w:szCs w:val="20"/>
                <w:shd w:val="clear" w:color="auto" w:fill="FFFFFF"/>
              </w:rPr>
            </w:pPr>
          </w:p>
          <w:p w:rsidR="00FD2AB7" w:rsidRPr="00E61ABE" w:rsidRDefault="00FD2AB7"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2351</w:t>
            </w:r>
          </w:p>
        </w:tc>
      </w:tr>
      <w:tr w:rsidR="00FD2AB7" w:rsidRPr="00E61ABE" w:rsidTr="00FD2AB7">
        <w:trPr>
          <w:tblCellSpacing w:w="15" w:type="dxa"/>
        </w:trPr>
        <w:tc>
          <w:tcPr>
            <w:tcW w:w="0" w:type="auto"/>
            <w:shd w:val="clear" w:color="auto" w:fill="FFFFFF"/>
            <w:vAlign w:val="center"/>
            <w:hideMark/>
          </w:tcPr>
          <w:p w:rsidR="00FD2AB7" w:rsidRPr="00E61ABE" w:rsidRDefault="00FD2AB7"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Právo na informace: časová působnost právních předpisů; povinný subjekt</w:t>
            </w:r>
          </w:p>
        </w:tc>
      </w:tr>
      <w:tr w:rsidR="00FD2AB7" w:rsidRPr="00E61ABE" w:rsidTr="00FD2AB7">
        <w:trPr>
          <w:tblCellSpacing w:w="15" w:type="dxa"/>
        </w:trPr>
        <w:tc>
          <w:tcPr>
            <w:tcW w:w="0" w:type="auto"/>
            <w:shd w:val="clear" w:color="auto" w:fill="FFFFFF"/>
            <w:vAlign w:val="center"/>
            <w:hideMark/>
          </w:tcPr>
          <w:p w:rsidR="00FD2AB7" w:rsidRPr="00E61ABE" w:rsidRDefault="00FD2AB7" w:rsidP="003216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I. Správní soudy postupují ode dne účinnosti zákona č. 61/2006 Sb. podle § 16 odst. 4 zákona č. 106/1999 Sb., o</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svobodném přístupu k informacím, ve znění zákona č. 61/2006 Sb. i ve věcech, v nichž byla žádost o informace podána přede dnem účinnosti zákona č. 61/2006 Sb.</w:t>
            </w:r>
          </w:p>
        </w:tc>
      </w:tr>
      <w:tr w:rsidR="00FD2AB7" w:rsidRPr="00E61ABE" w:rsidTr="00FD2AB7">
        <w:trPr>
          <w:tblCellSpacing w:w="15" w:type="dxa"/>
        </w:trPr>
        <w:tc>
          <w:tcPr>
            <w:tcW w:w="0" w:type="auto"/>
            <w:shd w:val="clear" w:color="auto" w:fill="FFFFFF"/>
            <w:vAlign w:val="center"/>
            <w:hideMark/>
          </w:tcPr>
          <w:p w:rsidR="00FD2AB7" w:rsidRPr="00E61ABE" w:rsidRDefault="00FD2AB7" w:rsidP="00837C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II. Soud zruší rozhodnutí o odvolání a rozhodnutí povinného subjektu o odmítnutí žádosti ve smyslu § 16 odst. 4 zákona č. 106/1999 Sb., o svobodném přístupu k informacím, i částečně, nejsou-li žádné důvody pro odmítnutí jen některé z více požadovaných informací. Současně povinnému subjektu nařídí tuto informaci poskytnout.</w:t>
            </w:r>
          </w:p>
        </w:tc>
      </w:tr>
      <w:tr w:rsidR="00FD2AB7" w:rsidRPr="00E61ABE" w:rsidTr="00FD2AB7">
        <w:trPr>
          <w:tblCellSpacing w:w="15" w:type="dxa"/>
        </w:trPr>
        <w:tc>
          <w:tcPr>
            <w:tcW w:w="0" w:type="auto"/>
            <w:shd w:val="clear" w:color="auto" w:fill="FFFFFF"/>
            <w:vAlign w:val="center"/>
            <w:hideMark/>
          </w:tcPr>
          <w:p w:rsidR="00FD2AB7" w:rsidRPr="00E61ABE" w:rsidRDefault="00FD2AB7" w:rsidP="00837C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III. Soud musí nařídit poskytnutí požadované informace podle § 16 odst. 4 zákona č. 106/1999 Sb., o svobodném přístupu k informacím, povinnému subjektu. Nařídil-li soud poskytnutí informace jinému subjektu (zde odvolacímu orgánu), uložil povinnost v rozporu se zákonem.</w:t>
            </w:r>
          </w:p>
        </w:tc>
      </w:tr>
      <w:tr w:rsidR="00FD2AB7" w:rsidRPr="00E61ABE" w:rsidTr="00FD2AB7">
        <w:trPr>
          <w:tblCellSpacing w:w="15" w:type="dxa"/>
        </w:trPr>
        <w:tc>
          <w:tcPr>
            <w:tcW w:w="0" w:type="auto"/>
            <w:shd w:val="clear" w:color="auto" w:fill="FFFFFF"/>
            <w:vAlign w:val="center"/>
            <w:hideMark/>
          </w:tcPr>
          <w:p w:rsidR="00FD2AB7" w:rsidRPr="00E61ABE" w:rsidRDefault="00FD2AB7"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(Podle rozsudku Nejvyššího správního soudu ze dne </w:t>
            </w:r>
            <w:proofErr w:type="gramStart"/>
            <w:r w:rsidRPr="00E61ABE">
              <w:rPr>
                <w:rFonts w:ascii="Garamond" w:eastAsia="Times New Roman" w:hAnsi="Garamond" w:cs="Times New Roman"/>
                <w:sz w:val="20"/>
                <w:szCs w:val="20"/>
                <w:lang w:eastAsia="cs-CZ"/>
              </w:rPr>
              <w:t>13.04.2011</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1 As 95/2010 - 240)</w:t>
            </w:r>
          </w:p>
        </w:tc>
      </w:tr>
    </w:tbl>
    <w:p w:rsidR="00FD2AB7" w:rsidRPr="00E61ABE" w:rsidRDefault="00FD2AB7"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E10277" w:rsidRPr="00E61ABE" w:rsidTr="00E10277">
        <w:trPr>
          <w:tblCellSpacing w:w="15" w:type="dxa"/>
        </w:trPr>
        <w:tc>
          <w:tcPr>
            <w:tcW w:w="0" w:type="auto"/>
            <w:shd w:val="clear" w:color="auto" w:fill="FFFFFF"/>
            <w:vAlign w:val="center"/>
            <w:hideMark/>
          </w:tcPr>
          <w:p w:rsidR="00E10277" w:rsidRPr="00E61ABE" w:rsidRDefault="00C25628" w:rsidP="00E61ABE">
            <w:pPr>
              <w:spacing w:after="0" w:line="240" w:lineRule="auto"/>
              <w:rPr>
                <w:rStyle w:val="apple-converted-space"/>
                <w:rFonts w:ascii="Garamond" w:hAnsi="Garamond"/>
                <w:sz w:val="20"/>
                <w:szCs w:val="20"/>
              </w:rPr>
            </w:pPr>
            <w:hyperlink r:id="rId12" w:history="1">
              <w:r w:rsidR="00E10277" w:rsidRPr="00E61ABE">
                <w:rPr>
                  <w:rStyle w:val="Hypertextovodkaz"/>
                  <w:rFonts w:ascii="Garamond" w:hAnsi="Garamond"/>
                  <w:b/>
                  <w:bCs/>
                  <w:color w:val="auto"/>
                  <w:sz w:val="20"/>
                  <w:szCs w:val="20"/>
                </w:rPr>
                <w:t>Číslo: 6/2011</w:t>
              </w:r>
            </w:hyperlink>
            <w:r w:rsidR="00E10277" w:rsidRPr="00E61ABE">
              <w:rPr>
                <w:rStyle w:val="apple-converted-space"/>
                <w:rFonts w:ascii="Garamond" w:hAnsi="Garamond"/>
                <w:sz w:val="20"/>
                <w:szCs w:val="20"/>
              </w:rPr>
              <w:t> </w:t>
            </w:r>
            <w:r w:rsidR="00E10277" w:rsidRPr="00E61ABE">
              <w:rPr>
                <w:rFonts w:ascii="Garamond" w:hAnsi="Garamond"/>
                <w:sz w:val="20"/>
                <w:szCs w:val="20"/>
              </w:rPr>
              <w:br/>
              <w:t>Ročník: 9</w:t>
            </w:r>
            <w:r w:rsidR="00E10277" w:rsidRPr="00E61ABE">
              <w:rPr>
                <w:rStyle w:val="apple-converted-space"/>
                <w:rFonts w:ascii="Garamond" w:hAnsi="Garamond"/>
                <w:sz w:val="20"/>
                <w:szCs w:val="20"/>
              </w:rPr>
              <w:t> </w:t>
            </w:r>
          </w:p>
          <w:p w:rsidR="00E10277" w:rsidRPr="00E61ABE" w:rsidRDefault="00E10277" w:rsidP="00E61ABE">
            <w:pPr>
              <w:spacing w:after="0" w:line="240" w:lineRule="auto"/>
              <w:rPr>
                <w:rStyle w:val="apple-converted-space"/>
                <w:rFonts w:ascii="Garamond" w:hAnsi="Garamond"/>
                <w:sz w:val="20"/>
                <w:szCs w:val="20"/>
              </w:rPr>
            </w:pPr>
          </w:p>
          <w:p w:rsidR="00E10277" w:rsidRPr="00E61ABE" w:rsidRDefault="00E10277"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2301</w:t>
            </w:r>
          </w:p>
        </w:tc>
      </w:tr>
      <w:tr w:rsidR="00E10277" w:rsidRPr="00E61ABE" w:rsidTr="00E10277">
        <w:trPr>
          <w:tblCellSpacing w:w="15" w:type="dxa"/>
        </w:trPr>
        <w:tc>
          <w:tcPr>
            <w:tcW w:w="0" w:type="auto"/>
            <w:shd w:val="clear" w:color="auto" w:fill="FFFFFF"/>
            <w:vAlign w:val="center"/>
            <w:hideMark/>
          </w:tcPr>
          <w:p w:rsidR="00E10277" w:rsidRPr="00E61ABE" w:rsidRDefault="00E10277"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Kompetenční spory: úhrada za poskytnutí informace</w:t>
            </w:r>
          </w:p>
        </w:tc>
      </w:tr>
      <w:tr w:rsidR="00E10277" w:rsidRPr="00E61ABE" w:rsidTr="00E10277">
        <w:trPr>
          <w:tblCellSpacing w:w="15" w:type="dxa"/>
        </w:trPr>
        <w:tc>
          <w:tcPr>
            <w:tcW w:w="0" w:type="auto"/>
            <w:shd w:val="clear" w:color="auto" w:fill="FFFFFF"/>
            <w:vAlign w:val="center"/>
            <w:hideMark/>
          </w:tcPr>
          <w:p w:rsidR="00E10277" w:rsidRPr="00E61ABE" w:rsidRDefault="00E10277" w:rsidP="00837C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Jestliže žadatel o informaci podle zákona č. 106/1999 Sb., o svobodném přístupu k informacím, nezaplatí částku, kterou správní orgán podmínil poskytnutí informace (§ 17 odst. 5 tohoto zákona), a správní orgán žádost odloží, je možno toto usnesení o odložení věci napadnout žalobou ve správním soudnictví. Jestliže však žadatel požadovanou částku zaplatil a u nadřízeného orgánu neuspěl se svou stížností proti výši úhrady [§ 16a odst. 1 písm. d) citovaného zákona], není pro něj dalším možným prostředkem obrany správní žaloba, nýbrž žaloba z titulu bezdůvodného obohacení podle části třetí občanského soudního řádu. Soud v občanském soudním řízení pak přezkoumá, zda byla úhrada vyčíslena v souladu s § 17 odst. 1 citovaného zákona, tedy zda nepřesahuje náklady spojené s pořízením kopií atd., a zda ceny uvedené v sazebníku zásadním způsobem nepřesahují ceny nezbytné.</w:t>
            </w:r>
          </w:p>
        </w:tc>
      </w:tr>
      <w:tr w:rsidR="00E10277" w:rsidRPr="00E61ABE" w:rsidTr="00E10277">
        <w:trPr>
          <w:tblCellSpacing w:w="15" w:type="dxa"/>
        </w:trPr>
        <w:tc>
          <w:tcPr>
            <w:tcW w:w="0" w:type="auto"/>
            <w:shd w:val="clear" w:color="auto" w:fill="FFFFFF"/>
            <w:vAlign w:val="center"/>
            <w:hideMark/>
          </w:tcPr>
          <w:p w:rsidR="00E10277" w:rsidRPr="00E61ABE" w:rsidRDefault="00E10277"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(Podle rozsudku Nejvyššího správního soudu ze dne </w:t>
            </w:r>
            <w:proofErr w:type="gramStart"/>
            <w:r w:rsidRPr="00E61ABE">
              <w:rPr>
                <w:rFonts w:ascii="Garamond" w:eastAsia="Times New Roman" w:hAnsi="Garamond" w:cs="Times New Roman"/>
                <w:sz w:val="20"/>
                <w:szCs w:val="20"/>
                <w:lang w:eastAsia="cs-CZ"/>
              </w:rPr>
              <w:t>15.09.2010</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Konf</w:t>
            </w:r>
            <w:proofErr w:type="spellEnd"/>
            <w:r w:rsidRPr="00E61ABE">
              <w:rPr>
                <w:rFonts w:ascii="Garamond" w:eastAsia="Times New Roman" w:hAnsi="Garamond" w:cs="Times New Roman"/>
                <w:sz w:val="20"/>
                <w:szCs w:val="20"/>
                <w:lang w:eastAsia="cs-CZ"/>
              </w:rPr>
              <w:t xml:space="preserve"> 115/2009 - 34)</w:t>
            </w:r>
          </w:p>
        </w:tc>
      </w:tr>
    </w:tbl>
    <w:p w:rsidR="00426786" w:rsidRPr="00E61ABE" w:rsidRDefault="00426786"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E10277" w:rsidRPr="00E61ABE" w:rsidTr="00E10277">
        <w:trPr>
          <w:tblCellSpacing w:w="15" w:type="dxa"/>
        </w:trPr>
        <w:tc>
          <w:tcPr>
            <w:tcW w:w="0" w:type="auto"/>
            <w:shd w:val="clear" w:color="auto" w:fill="FFFFFF"/>
            <w:vAlign w:val="center"/>
            <w:hideMark/>
          </w:tcPr>
          <w:p w:rsidR="00E10277" w:rsidRPr="00E61ABE" w:rsidRDefault="00C25628" w:rsidP="00E61ABE">
            <w:pPr>
              <w:spacing w:after="0" w:line="240" w:lineRule="auto"/>
              <w:rPr>
                <w:rFonts w:ascii="Garamond" w:hAnsi="Garamond"/>
                <w:sz w:val="20"/>
                <w:szCs w:val="20"/>
                <w:shd w:val="clear" w:color="auto" w:fill="FFFFFF"/>
              </w:rPr>
            </w:pPr>
            <w:hyperlink r:id="rId13" w:history="1">
              <w:r w:rsidR="00E10277" w:rsidRPr="00E61ABE">
                <w:rPr>
                  <w:rStyle w:val="Hypertextovodkaz"/>
                  <w:rFonts w:ascii="Garamond" w:hAnsi="Garamond"/>
                  <w:b/>
                  <w:bCs/>
                  <w:color w:val="auto"/>
                  <w:sz w:val="20"/>
                  <w:szCs w:val="20"/>
                  <w:shd w:val="clear" w:color="auto" w:fill="FFFFFF"/>
                </w:rPr>
                <w:t>Číslo: 4/2011</w:t>
              </w:r>
            </w:hyperlink>
            <w:r w:rsidR="00E10277" w:rsidRPr="00E61ABE">
              <w:rPr>
                <w:rStyle w:val="apple-converted-space"/>
                <w:rFonts w:ascii="Garamond" w:hAnsi="Garamond"/>
                <w:sz w:val="20"/>
                <w:szCs w:val="20"/>
                <w:shd w:val="clear" w:color="auto" w:fill="FFFFFF"/>
              </w:rPr>
              <w:t> </w:t>
            </w:r>
            <w:r w:rsidR="00E10277" w:rsidRPr="00E61ABE">
              <w:rPr>
                <w:rFonts w:ascii="Garamond" w:hAnsi="Garamond"/>
                <w:sz w:val="20"/>
                <w:szCs w:val="20"/>
              </w:rPr>
              <w:br/>
            </w:r>
            <w:r w:rsidR="00E10277" w:rsidRPr="00E61ABE">
              <w:rPr>
                <w:rFonts w:ascii="Garamond" w:hAnsi="Garamond"/>
                <w:sz w:val="20"/>
                <w:szCs w:val="20"/>
                <w:shd w:val="clear" w:color="auto" w:fill="FFFFFF"/>
              </w:rPr>
              <w:t>Ročník: 9</w:t>
            </w:r>
          </w:p>
          <w:p w:rsidR="00E10277" w:rsidRPr="00E61ABE" w:rsidRDefault="00E10277" w:rsidP="00E61ABE">
            <w:pPr>
              <w:spacing w:after="0" w:line="240" w:lineRule="auto"/>
              <w:rPr>
                <w:rFonts w:ascii="Garamond" w:hAnsi="Garamond"/>
                <w:sz w:val="20"/>
                <w:szCs w:val="20"/>
                <w:shd w:val="clear" w:color="auto" w:fill="FFFFFF"/>
              </w:rPr>
            </w:pPr>
          </w:p>
          <w:p w:rsidR="00E10277" w:rsidRPr="00E61ABE" w:rsidRDefault="00E10277"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2241</w:t>
            </w:r>
          </w:p>
        </w:tc>
      </w:tr>
      <w:tr w:rsidR="00E10277" w:rsidRPr="00E61ABE" w:rsidTr="00E10277">
        <w:trPr>
          <w:tblCellSpacing w:w="15" w:type="dxa"/>
        </w:trPr>
        <w:tc>
          <w:tcPr>
            <w:tcW w:w="0" w:type="auto"/>
            <w:shd w:val="clear" w:color="auto" w:fill="FFFFFF"/>
            <w:vAlign w:val="center"/>
            <w:hideMark/>
          </w:tcPr>
          <w:p w:rsidR="00E10277" w:rsidRPr="00E61ABE" w:rsidRDefault="00E10277"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Svobodný přístup k informacím: informace o probíhajícím trestním řízení</w:t>
            </w:r>
          </w:p>
        </w:tc>
      </w:tr>
      <w:tr w:rsidR="00E10277" w:rsidRPr="00E61ABE" w:rsidTr="00E10277">
        <w:trPr>
          <w:tblCellSpacing w:w="15" w:type="dxa"/>
        </w:trPr>
        <w:tc>
          <w:tcPr>
            <w:tcW w:w="0" w:type="auto"/>
            <w:shd w:val="clear" w:color="auto" w:fill="FFFFFF"/>
            <w:vAlign w:val="center"/>
            <w:hideMark/>
          </w:tcPr>
          <w:p w:rsidR="00E10277" w:rsidRPr="00E61ABE" w:rsidRDefault="00E10277" w:rsidP="00837C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Povinné subjekty neposkytnou informace o probíhajícím trestním řízení [§ 11 odst. 4 písm. a) zákona č. 106/1999 Sb., o svobodném přístupu k informacím] pouze poté, co zváží, nakolik je důvod neposkytnutí informace vskutku ospravedlněn naléhavou společenskou potřebou. Tou bude pravidelně zájem státu na tom, aby poskytnuté informace </w:t>
            </w:r>
            <w:r w:rsidRPr="00E61ABE">
              <w:rPr>
                <w:rFonts w:ascii="Garamond" w:eastAsia="Times New Roman" w:hAnsi="Garamond" w:cs="Times New Roman"/>
                <w:sz w:val="20"/>
                <w:szCs w:val="20"/>
                <w:lang w:eastAsia="cs-CZ"/>
              </w:rPr>
              <w:lastRenderedPageBreak/>
              <w:t>neohrozily objasnění skutečností důležitých pro trestní řízení, nezveřejnily o osobách zúčastněných na trestním řízení údaje, které přímo nesouvisejí s trestnou činností, a aby neporušily zásadu, že dokud pravomocným odsuzujícím rozsudkem není vina vyslovena, nelze na toho, proti němuž se vede trestní řízení, hledět, jako by byl vinen. Povinný subjekt vezme v potaz též ochranu práv a svobod druhých, např. obětí trestného činu (srov. § 8a odst. 1 trestního řádu).</w:t>
            </w:r>
          </w:p>
        </w:tc>
      </w:tr>
      <w:tr w:rsidR="00E10277" w:rsidRPr="00E61ABE" w:rsidTr="00E10277">
        <w:trPr>
          <w:tblCellSpacing w:w="15" w:type="dxa"/>
        </w:trPr>
        <w:tc>
          <w:tcPr>
            <w:tcW w:w="0" w:type="auto"/>
            <w:shd w:val="clear" w:color="auto" w:fill="FFFFFF"/>
            <w:vAlign w:val="center"/>
            <w:hideMark/>
          </w:tcPr>
          <w:p w:rsidR="00E10277" w:rsidRPr="00E61ABE" w:rsidRDefault="00E10277"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lastRenderedPageBreak/>
              <w:t xml:space="preserve">(Podle rozsudku Nejvyššího správního soudu ze dne </w:t>
            </w:r>
            <w:proofErr w:type="gramStart"/>
            <w:r w:rsidRPr="00E61ABE">
              <w:rPr>
                <w:rFonts w:ascii="Garamond" w:eastAsia="Times New Roman" w:hAnsi="Garamond" w:cs="Times New Roman"/>
                <w:sz w:val="20"/>
                <w:szCs w:val="20"/>
                <w:lang w:eastAsia="cs-CZ"/>
              </w:rPr>
              <w:t>01.12.2010</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1 As 44/2010 - 103)</w:t>
            </w:r>
          </w:p>
        </w:tc>
      </w:tr>
    </w:tbl>
    <w:p w:rsidR="00E10277" w:rsidRPr="00E61ABE" w:rsidRDefault="00E10277"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426786" w:rsidRPr="00E61ABE" w:rsidTr="00426786">
        <w:trPr>
          <w:tblCellSpacing w:w="15" w:type="dxa"/>
        </w:trPr>
        <w:tc>
          <w:tcPr>
            <w:tcW w:w="0" w:type="auto"/>
            <w:shd w:val="clear" w:color="auto" w:fill="FFFFFF"/>
            <w:vAlign w:val="center"/>
            <w:hideMark/>
          </w:tcPr>
          <w:p w:rsidR="00426786" w:rsidRPr="00E61ABE" w:rsidRDefault="00C25628" w:rsidP="00E61ABE">
            <w:pPr>
              <w:spacing w:after="0" w:line="240" w:lineRule="auto"/>
              <w:rPr>
                <w:rStyle w:val="apple-converted-space"/>
                <w:rFonts w:ascii="Garamond" w:hAnsi="Garamond"/>
                <w:sz w:val="20"/>
                <w:szCs w:val="20"/>
                <w:shd w:val="clear" w:color="auto" w:fill="FFFFFF"/>
              </w:rPr>
            </w:pPr>
            <w:hyperlink r:id="rId14" w:history="1">
              <w:r w:rsidR="00426786" w:rsidRPr="00E61ABE">
                <w:rPr>
                  <w:rStyle w:val="Hypertextovodkaz"/>
                  <w:rFonts w:ascii="Garamond" w:hAnsi="Garamond"/>
                  <w:b/>
                  <w:bCs/>
                  <w:color w:val="auto"/>
                  <w:sz w:val="20"/>
                  <w:szCs w:val="20"/>
                  <w:shd w:val="clear" w:color="auto" w:fill="FFFFFF"/>
                </w:rPr>
                <w:t>Číslo: 3/2011</w:t>
              </w:r>
            </w:hyperlink>
            <w:r w:rsidR="00426786" w:rsidRPr="00E61ABE">
              <w:rPr>
                <w:rStyle w:val="apple-converted-space"/>
                <w:rFonts w:ascii="Garamond" w:hAnsi="Garamond"/>
                <w:sz w:val="20"/>
                <w:szCs w:val="20"/>
                <w:shd w:val="clear" w:color="auto" w:fill="FFFFFF"/>
              </w:rPr>
              <w:t> </w:t>
            </w:r>
            <w:r w:rsidR="00426786" w:rsidRPr="00E61ABE">
              <w:rPr>
                <w:rFonts w:ascii="Garamond" w:hAnsi="Garamond"/>
                <w:sz w:val="20"/>
                <w:szCs w:val="20"/>
              </w:rPr>
              <w:br/>
            </w:r>
            <w:r w:rsidR="00426786" w:rsidRPr="00E61ABE">
              <w:rPr>
                <w:rFonts w:ascii="Garamond" w:hAnsi="Garamond"/>
                <w:sz w:val="20"/>
                <w:szCs w:val="20"/>
                <w:shd w:val="clear" w:color="auto" w:fill="FFFFFF"/>
              </w:rPr>
              <w:t>Ročník: 9</w:t>
            </w:r>
            <w:r w:rsidR="00426786" w:rsidRPr="00E61ABE">
              <w:rPr>
                <w:rStyle w:val="apple-converted-space"/>
                <w:rFonts w:ascii="Garamond" w:hAnsi="Garamond"/>
                <w:sz w:val="20"/>
                <w:szCs w:val="20"/>
                <w:shd w:val="clear" w:color="auto" w:fill="FFFFFF"/>
              </w:rPr>
              <w:t> </w:t>
            </w:r>
          </w:p>
          <w:p w:rsidR="00426786" w:rsidRPr="00E61ABE" w:rsidRDefault="00426786" w:rsidP="00E61ABE">
            <w:pPr>
              <w:spacing w:after="0" w:line="240" w:lineRule="auto"/>
              <w:rPr>
                <w:rStyle w:val="apple-converted-space"/>
                <w:rFonts w:ascii="Garamond" w:hAnsi="Garamond"/>
                <w:sz w:val="20"/>
                <w:szCs w:val="20"/>
                <w:shd w:val="clear" w:color="auto" w:fill="FFFFFF"/>
              </w:rPr>
            </w:pPr>
          </w:p>
          <w:p w:rsidR="00426786" w:rsidRPr="00E61ABE" w:rsidRDefault="00426786"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2217</w:t>
            </w:r>
          </w:p>
        </w:tc>
      </w:tr>
      <w:tr w:rsidR="00426786" w:rsidRPr="00E61ABE" w:rsidTr="00426786">
        <w:trPr>
          <w:tblCellSpacing w:w="15" w:type="dxa"/>
        </w:trPr>
        <w:tc>
          <w:tcPr>
            <w:tcW w:w="0" w:type="auto"/>
            <w:shd w:val="clear" w:color="auto" w:fill="FFFFFF"/>
            <w:vAlign w:val="center"/>
            <w:hideMark/>
          </w:tcPr>
          <w:p w:rsidR="00426786" w:rsidRPr="00E61ABE" w:rsidRDefault="00426786"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Svobodný přístup k informacím: informace poskytované v rámci samostatné působnosti kraje</w:t>
            </w:r>
          </w:p>
        </w:tc>
      </w:tr>
      <w:tr w:rsidR="00426786" w:rsidRPr="00E61ABE" w:rsidTr="00426786">
        <w:trPr>
          <w:tblCellSpacing w:w="15" w:type="dxa"/>
        </w:trPr>
        <w:tc>
          <w:tcPr>
            <w:tcW w:w="0" w:type="auto"/>
            <w:shd w:val="clear" w:color="auto" w:fill="FFFFFF"/>
            <w:vAlign w:val="center"/>
            <w:hideMark/>
          </w:tcPr>
          <w:p w:rsidR="00426786" w:rsidRPr="00E61ABE" w:rsidRDefault="00426786" w:rsidP="003216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V případech, kdy jsou informace podle zákona č. 106/1999 Sb., o svobodném přístupu k informacím, poskytovány v</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rámci samostatné působnosti kraje, zákon nebrání tomu, aby žádost o poskytnutí informací vyřídil a odpovídající informace poskytl krajský úřad, a to i v případě, že žádost o poskytnutí informací byla směřována vůči jinému orgánu kraje (např. radě kraje).</w:t>
            </w:r>
          </w:p>
        </w:tc>
      </w:tr>
      <w:tr w:rsidR="00426786" w:rsidRPr="00E61ABE" w:rsidTr="00426786">
        <w:trPr>
          <w:tblCellSpacing w:w="15" w:type="dxa"/>
        </w:trPr>
        <w:tc>
          <w:tcPr>
            <w:tcW w:w="0" w:type="auto"/>
            <w:shd w:val="clear" w:color="auto" w:fill="FFFFFF"/>
            <w:vAlign w:val="center"/>
            <w:hideMark/>
          </w:tcPr>
          <w:p w:rsidR="00426786" w:rsidRPr="00E61ABE" w:rsidRDefault="00426786"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(Podle rozsudku Nejvyššího správního soudu ze dne </w:t>
            </w:r>
            <w:proofErr w:type="gramStart"/>
            <w:r w:rsidRPr="00E61ABE">
              <w:rPr>
                <w:rFonts w:ascii="Garamond" w:eastAsia="Times New Roman" w:hAnsi="Garamond" w:cs="Times New Roman"/>
                <w:sz w:val="20"/>
                <w:szCs w:val="20"/>
                <w:lang w:eastAsia="cs-CZ"/>
              </w:rPr>
              <w:t>27.10.2010</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xml:space="preserve">. 4 </w:t>
            </w:r>
            <w:proofErr w:type="spellStart"/>
            <w:r w:rsidRPr="00E61ABE">
              <w:rPr>
                <w:rFonts w:ascii="Garamond" w:eastAsia="Times New Roman" w:hAnsi="Garamond" w:cs="Times New Roman"/>
                <w:sz w:val="20"/>
                <w:szCs w:val="20"/>
                <w:lang w:eastAsia="cs-CZ"/>
              </w:rPr>
              <w:t>Ans</w:t>
            </w:r>
            <w:proofErr w:type="spellEnd"/>
            <w:r w:rsidRPr="00E61ABE">
              <w:rPr>
                <w:rFonts w:ascii="Garamond" w:eastAsia="Times New Roman" w:hAnsi="Garamond" w:cs="Times New Roman"/>
                <w:sz w:val="20"/>
                <w:szCs w:val="20"/>
                <w:lang w:eastAsia="cs-CZ"/>
              </w:rPr>
              <w:t xml:space="preserve"> 13/2008 - 87)</w:t>
            </w:r>
          </w:p>
        </w:tc>
      </w:tr>
    </w:tbl>
    <w:p w:rsidR="00426786" w:rsidRPr="00E61ABE" w:rsidRDefault="00426786"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426786" w:rsidRPr="00E61ABE" w:rsidTr="00426786">
        <w:trPr>
          <w:tblCellSpacing w:w="15" w:type="dxa"/>
        </w:trPr>
        <w:tc>
          <w:tcPr>
            <w:tcW w:w="0" w:type="auto"/>
            <w:shd w:val="clear" w:color="auto" w:fill="FFFFFF"/>
            <w:vAlign w:val="center"/>
            <w:hideMark/>
          </w:tcPr>
          <w:p w:rsidR="00426786" w:rsidRPr="00E61ABE" w:rsidRDefault="00C25628" w:rsidP="00E61ABE">
            <w:pPr>
              <w:spacing w:after="0" w:line="240" w:lineRule="auto"/>
              <w:rPr>
                <w:rFonts w:ascii="Garamond" w:hAnsi="Garamond"/>
                <w:sz w:val="20"/>
                <w:szCs w:val="20"/>
              </w:rPr>
            </w:pPr>
            <w:hyperlink r:id="rId15" w:history="1">
              <w:r w:rsidR="00426786" w:rsidRPr="00E61ABE">
                <w:rPr>
                  <w:rStyle w:val="Hypertextovodkaz"/>
                  <w:rFonts w:ascii="Garamond" w:hAnsi="Garamond"/>
                  <w:b/>
                  <w:bCs/>
                  <w:color w:val="auto"/>
                  <w:sz w:val="20"/>
                  <w:szCs w:val="20"/>
                </w:rPr>
                <w:t>Číslo: 2/2011</w:t>
              </w:r>
            </w:hyperlink>
            <w:r w:rsidR="00426786" w:rsidRPr="00E61ABE">
              <w:rPr>
                <w:rStyle w:val="apple-converted-space"/>
                <w:rFonts w:ascii="Garamond" w:hAnsi="Garamond"/>
                <w:sz w:val="20"/>
                <w:szCs w:val="20"/>
              </w:rPr>
              <w:t> </w:t>
            </w:r>
            <w:r w:rsidR="00426786" w:rsidRPr="00E61ABE">
              <w:rPr>
                <w:rFonts w:ascii="Garamond" w:hAnsi="Garamond"/>
                <w:sz w:val="20"/>
                <w:szCs w:val="20"/>
              </w:rPr>
              <w:br/>
              <w:t>Ročník: 9</w:t>
            </w:r>
          </w:p>
          <w:p w:rsidR="00426786" w:rsidRPr="00E61ABE" w:rsidRDefault="00426786" w:rsidP="00E61ABE">
            <w:pPr>
              <w:spacing w:after="0" w:line="240" w:lineRule="auto"/>
              <w:rPr>
                <w:rFonts w:ascii="Garamond" w:hAnsi="Garamond"/>
                <w:sz w:val="20"/>
                <w:szCs w:val="20"/>
              </w:rPr>
            </w:pPr>
          </w:p>
          <w:p w:rsidR="00426786" w:rsidRPr="00E61ABE" w:rsidRDefault="00426786"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2202</w:t>
            </w:r>
          </w:p>
        </w:tc>
      </w:tr>
      <w:tr w:rsidR="00426786" w:rsidRPr="00E61ABE" w:rsidTr="00426786">
        <w:trPr>
          <w:tblCellSpacing w:w="15" w:type="dxa"/>
        </w:trPr>
        <w:tc>
          <w:tcPr>
            <w:tcW w:w="0" w:type="auto"/>
            <w:shd w:val="clear" w:color="auto" w:fill="FFFFFF"/>
            <w:vAlign w:val="center"/>
            <w:hideMark/>
          </w:tcPr>
          <w:p w:rsidR="00426786" w:rsidRPr="00E61ABE" w:rsidRDefault="00426786"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Právo na informace: povinný subjekt</w:t>
            </w:r>
          </w:p>
        </w:tc>
      </w:tr>
      <w:tr w:rsidR="00426786" w:rsidRPr="00E61ABE" w:rsidTr="00426786">
        <w:trPr>
          <w:tblCellSpacing w:w="15" w:type="dxa"/>
        </w:trPr>
        <w:tc>
          <w:tcPr>
            <w:tcW w:w="0" w:type="auto"/>
            <w:shd w:val="clear" w:color="auto" w:fill="FFFFFF"/>
            <w:vAlign w:val="center"/>
            <w:hideMark/>
          </w:tcPr>
          <w:p w:rsidR="00426786" w:rsidRPr="00E61ABE" w:rsidRDefault="00426786" w:rsidP="00837C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Konkrétní obecní úřad (resp. městský úřad či magistrát statutárního města) je třeba považovat za jediný správní orgán, jemuž právní předpisy svěřují působnost v různých oblastech veřejné správy, a také za jediný povinný subjekt ve smyslu zákona č. 106/1999 Sb., o svobodném přístupu k informacím. Tento povinný subjekt tedy není oprávněn odložit žádost o informaci či tuto žádost zamítnout se zdůvodněním, že se nevztahuje k jeho působnosti, pokud se tato žádost týká činnosti jiného odboru či složky téhož obecního úřadu, než je ta, které byla žádost adresována.</w:t>
            </w:r>
          </w:p>
        </w:tc>
      </w:tr>
      <w:tr w:rsidR="00426786" w:rsidRPr="00E61ABE" w:rsidTr="00426786">
        <w:trPr>
          <w:tblCellSpacing w:w="15" w:type="dxa"/>
        </w:trPr>
        <w:tc>
          <w:tcPr>
            <w:tcW w:w="0" w:type="auto"/>
            <w:shd w:val="clear" w:color="auto" w:fill="FFFFFF"/>
            <w:vAlign w:val="center"/>
            <w:hideMark/>
          </w:tcPr>
          <w:p w:rsidR="00426786" w:rsidRPr="00E61ABE" w:rsidRDefault="00426786"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(Podle rozsudku Nejvyššího správního soudu ze dne </w:t>
            </w:r>
            <w:proofErr w:type="gramStart"/>
            <w:r w:rsidRPr="00E61ABE">
              <w:rPr>
                <w:rFonts w:ascii="Garamond" w:eastAsia="Times New Roman" w:hAnsi="Garamond" w:cs="Times New Roman"/>
                <w:sz w:val="20"/>
                <w:szCs w:val="20"/>
                <w:lang w:eastAsia="cs-CZ"/>
              </w:rPr>
              <w:t>28.03.2008</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3 As 13/2007 - 75)</w:t>
            </w:r>
          </w:p>
        </w:tc>
      </w:tr>
    </w:tbl>
    <w:p w:rsidR="00426786" w:rsidRPr="00E61ABE" w:rsidRDefault="00426786" w:rsidP="00E61ABE">
      <w:pPr>
        <w:rPr>
          <w:rFonts w:ascii="Garamond" w:hAnsi="Garamond"/>
          <w:sz w:val="20"/>
          <w:szCs w:val="20"/>
        </w:rPr>
      </w:pPr>
    </w:p>
    <w:p w:rsidR="00067910" w:rsidRPr="00E61ABE" w:rsidRDefault="00C25628" w:rsidP="00E61ABE">
      <w:pPr>
        <w:spacing w:after="0" w:line="240" w:lineRule="auto"/>
        <w:rPr>
          <w:rFonts w:ascii="Garamond" w:hAnsi="Garamond"/>
          <w:sz w:val="20"/>
          <w:szCs w:val="20"/>
        </w:rPr>
      </w:pPr>
      <w:hyperlink r:id="rId16" w:history="1">
        <w:r w:rsidR="00067910" w:rsidRPr="00E61ABE">
          <w:rPr>
            <w:rStyle w:val="Hypertextovodkaz"/>
            <w:rFonts w:ascii="Garamond" w:hAnsi="Garamond"/>
            <w:b/>
            <w:bCs/>
            <w:color w:val="auto"/>
            <w:sz w:val="20"/>
            <w:szCs w:val="20"/>
          </w:rPr>
          <w:t>Číslo: 1/2011</w:t>
        </w:r>
      </w:hyperlink>
      <w:r w:rsidR="00067910" w:rsidRPr="00E61ABE">
        <w:rPr>
          <w:rStyle w:val="apple-converted-space"/>
          <w:rFonts w:ascii="Garamond" w:hAnsi="Garamond"/>
          <w:sz w:val="20"/>
          <w:szCs w:val="20"/>
        </w:rPr>
        <w:t> </w:t>
      </w:r>
      <w:r w:rsidR="00067910" w:rsidRPr="00E61ABE">
        <w:rPr>
          <w:rFonts w:ascii="Garamond" w:hAnsi="Garamond"/>
          <w:sz w:val="20"/>
          <w:szCs w:val="20"/>
        </w:rPr>
        <w:br/>
        <w:t>Ročník: 9</w:t>
      </w: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067910" w:rsidRPr="00E61ABE" w:rsidTr="00067910">
        <w:trPr>
          <w:tblCellSpacing w:w="15" w:type="dxa"/>
        </w:trPr>
        <w:tc>
          <w:tcPr>
            <w:tcW w:w="0" w:type="auto"/>
            <w:shd w:val="clear" w:color="auto" w:fill="FFFFFF"/>
            <w:vAlign w:val="center"/>
            <w:hideMark/>
          </w:tcPr>
          <w:p w:rsidR="00067910" w:rsidRPr="00E61ABE" w:rsidRDefault="00067910"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2166</w:t>
            </w:r>
          </w:p>
        </w:tc>
      </w:tr>
      <w:tr w:rsidR="00067910" w:rsidRPr="00E61ABE" w:rsidTr="00067910">
        <w:trPr>
          <w:tblCellSpacing w:w="15" w:type="dxa"/>
        </w:trPr>
        <w:tc>
          <w:tcPr>
            <w:tcW w:w="0" w:type="auto"/>
            <w:shd w:val="clear" w:color="auto" w:fill="FFFFFF"/>
            <w:vAlign w:val="center"/>
            <w:hideMark/>
          </w:tcPr>
          <w:p w:rsidR="00067910" w:rsidRPr="00E61ABE" w:rsidRDefault="00067910"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Svobodný přístup k informacím: informace o probíhajícím trestním řízení</w:t>
            </w:r>
          </w:p>
        </w:tc>
      </w:tr>
      <w:tr w:rsidR="00067910" w:rsidRPr="00E61ABE" w:rsidTr="00067910">
        <w:trPr>
          <w:tblCellSpacing w:w="15" w:type="dxa"/>
        </w:trPr>
        <w:tc>
          <w:tcPr>
            <w:tcW w:w="0" w:type="auto"/>
            <w:shd w:val="clear" w:color="auto" w:fill="FFFFFF"/>
            <w:vAlign w:val="center"/>
            <w:hideMark/>
          </w:tcPr>
          <w:p w:rsidR="00067910" w:rsidRPr="00E61ABE" w:rsidRDefault="00067910" w:rsidP="003216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Zásadním hlediskem pro rozhodnutí povinného orgánu o odepření informace podle § 11 odst. 4 písm. a) zákona č.</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106/1999 Sb., o svobodném přístupu k informacím, je probíhající trestní řízení v užším smyslu, tj. zpravidla trestní stíhání konkrétní osoby končící právní mocí rozsudku nebo jiného rozhodnutí ve věci samé. Jedná-li se o žádost o</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informaci týkající se dalších fází trestního řízení, povinný subjekt v rámci své diskreční pravomoci uváží, zda by</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poskytnutím informace mohl být zmařen nebo ohrožen účel trestního řízení vycházeje ze smyslu základního práva jednotlivce na informace o činnosti veřejné moci a ze zásady restriktivního výkladu omezení ústavně zaručených práv; pouze v případě, že by poskytnutím informace o těchto procesech mohl být účel trestního řízení zmařen, odepře povinný subjekt informaci s odkazem na § 11 odst. 4 písm. a) citovaného zákona.</w:t>
            </w:r>
          </w:p>
        </w:tc>
      </w:tr>
      <w:tr w:rsidR="00067910" w:rsidRPr="00E61ABE" w:rsidTr="00067910">
        <w:trPr>
          <w:tblCellSpacing w:w="15" w:type="dxa"/>
        </w:trPr>
        <w:tc>
          <w:tcPr>
            <w:tcW w:w="0" w:type="auto"/>
            <w:shd w:val="clear" w:color="auto" w:fill="FFFFFF"/>
            <w:vAlign w:val="center"/>
            <w:hideMark/>
          </w:tcPr>
          <w:p w:rsidR="00067910" w:rsidRPr="00E61ABE" w:rsidRDefault="00067910"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(Podle rozsudku Nejvyššího správního soudu ze dne </w:t>
            </w:r>
            <w:proofErr w:type="gramStart"/>
            <w:r w:rsidRPr="00E61ABE">
              <w:rPr>
                <w:rFonts w:ascii="Garamond" w:eastAsia="Times New Roman" w:hAnsi="Garamond" w:cs="Times New Roman"/>
                <w:sz w:val="20"/>
                <w:szCs w:val="20"/>
                <w:lang w:eastAsia="cs-CZ"/>
              </w:rPr>
              <w:t>16.03.2010</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1 As 97/2009 - 119)</w:t>
            </w:r>
          </w:p>
        </w:tc>
      </w:tr>
    </w:tbl>
    <w:p w:rsidR="00067910" w:rsidRPr="00E61ABE" w:rsidRDefault="00067910" w:rsidP="00E61ABE">
      <w:pPr>
        <w:rPr>
          <w:rFonts w:ascii="Garamond" w:hAnsi="Garamond"/>
          <w:sz w:val="20"/>
          <w:szCs w:val="20"/>
        </w:rPr>
      </w:pPr>
    </w:p>
    <w:p w:rsidR="00067910" w:rsidRPr="00E61ABE" w:rsidRDefault="00C25628" w:rsidP="00E61ABE">
      <w:pPr>
        <w:spacing w:after="0" w:line="240" w:lineRule="auto"/>
        <w:rPr>
          <w:rFonts w:ascii="Garamond" w:hAnsi="Garamond"/>
          <w:sz w:val="20"/>
          <w:szCs w:val="20"/>
        </w:rPr>
      </w:pPr>
      <w:hyperlink r:id="rId17" w:history="1">
        <w:r w:rsidR="00067910" w:rsidRPr="00E61ABE">
          <w:rPr>
            <w:rStyle w:val="Hypertextovodkaz"/>
            <w:rFonts w:ascii="Garamond" w:hAnsi="Garamond"/>
            <w:b/>
            <w:bCs/>
            <w:color w:val="auto"/>
            <w:sz w:val="20"/>
            <w:szCs w:val="20"/>
          </w:rPr>
          <w:t>Číslo: 1/2011</w:t>
        </w:r>
      </w:hyperlink>
      <w:r w:rsidR="00067910" w:rsidRPr="00E61ABE">
        <w:rPr>
          <w:rStyle w:val="apple-converted-space"/>
          <w:rFonts w:ascii="Garamond" w:hAnsi="Garamond"/>
          <w:sz w:val="20"/>
          <w:szCs w:val="20"/>
        </w:rPr>
        <w:t> </w:t>
      </w:r>
      <w:r w:rsidR="00067910" w:rsidRPr="00E61ABE">
        <w:rPr>
          <w:rFonts w:ascii="Garamond" w:hAnsi="Garamond"/>
          <w:sz w:val="20"/>
          <w:szCs w:val="20"/>
        </w:rPr>
        <w:br/>
        <w:t>Ročník: 9</w:t>
      </w: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067910" w:rsidRPr="00E61ABE" w:rsidTr="00067910">
        <w:trPr>
          <w:tblCellSpacing w:w="15" w:type="dxa"/>
        </w:trPr>
        <w:tc>
          <w:tcPr>
            <w:tcW w:w="0" w:type="auto"/>
            <w:shd w:val="clear" w:color="auto" w:fill="FFFFFF"/>
            <w:vAlign w:val="center"/>
            <w:hideMark/>
          </w:tcPr>
          <w:p w:rsidR="00067910" w:rsidRPr="00E61ABE" w:rsidRDefault="00067910"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2165</w:t>
            </w:r>
          </w:p>
        </w:tc>
      </w:tr>
      <w:tr w:rsidR="00067910" w:rsidRPr="00E61ABE" w:rsidTr="00067910">
        <w:trPr>
          <w:tblCellSpacing w:w="15" w:type="dxa"/>
        </w:trPr>
        <w:tc>
          <w:tcPr>
            <w:tcW w:w="0" w:type="auto"/>
            <w:shd w:val="clear" w:color="auto" w:fill="FFFFFF"/>
            <w:vAlign w:val="center"/>
            <w:hideMark/>
          </w:tcPr>
          <w:p w:rsidR="00067910" w:rsidRPr="00E61ABE" w:rsidRDefault="00067910"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Svobodný přístup k informacím: poskytování informací držitelem povolení podle atomového zákona</w:t>
            </w:r>
          </w:p>
        </w:tc>
      </w:tr>
      <w:tr w:rsidR="00067910" w:rsidRPr="00E61ABE" w:rsidTr="00067910">
        <w:trPr>
          <w:tblCellSpacing w:w="15" w:type="dxa"/>
        </w:trPr>
        <w:tc>
          <w:tcPr>
            <w:tcW w:w="0" w:type="auto"/>
            <w:shd w:val="clear" w:color="auto" w:fill="FFFFFF"/>
            <w:vAlign w:val="center"/>
            <w:hideMark/>
          </w:tcPr>
          <w:p w:rsidR="00067910" w:rsidRPr="00E61ABE" w:rsidRDefault="00067910" w:rsidP="003216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Držitel povolení podle § 9 odst. 1 zákona č. 18/1997 Sb., o mírovém využívání jaderné energie a ionizujícího záření (atomový zákon), který je zároveň povinným subjektem podle zákona č. 106/1999 Sb., o svobodném přístupu k</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informacím, poskytuje v režimu zákona č. 106/1999 Sb. i informace o zajištění jaderné bezpečnosti a radiační ochrany, jejichž poskytnutí mu ukládá § 17 odst. 1 písm. k) atomového zákona.</w:t>
            </w:r>
          </w:p>
        </w:tc>
      </w:tr>
      <w:tr w:rsidR="00067910" w:rsidRPr="00E61ABE" w:rsidTr="00067910">
        <w:trPr>
          <w:tblCellSpacing w:w="15" w:type="dxa"/>
        </w:trPr>
        <w:tc>
          <w:tcPr>
            <w:tcW w:w="0" w:type="auto"/>
            <w:shd w:val="clear" w:color="auto" w:fill="FFFFFF"/>
            <w:vAlign w:val="center"/>
            <w:hideMark/>
          </w:tcPr>
          <w:p w:rsidR="00067910" w:rsidRPr="00E61ABE" w:rsidRDefault="00067910"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lastRenderedPageBreak/>
              <w:t xml:space="preserve">(Podle rozsudku Nejvyššího správního soudu ze dne </w:t>
            </w:r>
            <w:proofErr w:type="gramStart"/>
            <w:r w:rsidRPr="00E61ABE">
              <w:rPr>
                <w:rFonts w:ascii="Garamond" w:eastAsia="Times New Roman" w:hAnsi="Garamond" w:cs="Times New Roman"/>
                <w:sz w:val="20"/>
                <w:szCs w:val="20"/>
                <w:lang w:eastAsia="cs-CZ"/>
              </w:rPr>
              <w:t>15.10.2010</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xml:space="preserve">. 2 </w:t>
            </w:r>
            <w:proofErr w:type="spellStart"/>
            <w:r w:rsidRPr="00E61ABE">
              <w:rPr>
                <w:rFonts w:ascii="Garamond" w:eastAsia="Times New Roman" w:hAnsi="Garamond" w:cs="Times New Roman"/>
                <w:sz w:val="20"/>
                <w:szCs w:val="20"/>
                <w:lang w:eastAsia="cs-CZ"/>
              </w:rPr>
              <w:t>Ans</w:t>
            </w:r>
            <w:proofErr w:type="spellEnd"/>
            <w:r w:rsidRPr="00E61ABE">
              <w:rPr>
                <w:rFonts w:ascii="Garamond" w:eastAsia="Times New Roman" w:hAnsi="Garamond" w:cs="Times New Roman"/>
                <w:sz w:val="20"/>
                <w:szCs w:val="20"/>
                <w:lang w:eastAsia="cs-CZ"/>
              </w:rPr>
              <w:t xml:space="preserve"> 7/2010 - 175)</w:t>
            </w:r>
          </w:p>
        </w:tc>
      </w:tr>
    </w:tbl>
    <w:p w:rsidR="00067910" w:rsidRPr="00E61ABE" w:rsidRDefault="00067910"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067910" w:rsidRPr="00E61ABE" w:rsidTr="00067910">
        <w:trPr>
          <w:tblCellSpacing w:w="15" w:type="dxa"/>
        </w:trPr>
        <w:tc>
          <w:tcPr>
            <w:tcW w:w="0" w:type="auto"/>
            <w:shd w:val="clear" w:color="auto" w:fill="FFFFFF"/>
            <w:vAlign w:val="center"/>
            <w:hideMark/>
          </w:tcPr>
          <w:p w:rsidR="00067910" w:rsidRPr="00E61ABE" w:rsidRDefault="00C25628" w:rsidP="00E61ABE">
            <w:pPr>
              <w:spacing w:after="0" w:line="240" w:lineRule="auto"/>
              <w:rPr>
                <w:rFonts w:ascii="Garamond" w:hAnsi="Garamond"/>
                <w:sz w:val="20"/>
                <w:szCs w:val="20"/>
              </w:rPr>
            </w:pPr>
            <w:hyperlink r:id="rId18" w:history="1">
              <w:r w:rsidR="008D7E49" w:rsidRPr="00E61ABE">
                <w:rPr>
                  <w:rStyle w:val="Hypertextovodkaz"/>
                  <w:rFonts w:ascii="Garamond" w:hAnsi="Garamond"/>
                  <w:b/>
                  <w:bCs/>
                  <w:color w:val="auto"/>
                  <w:sz w:val="20"/>
                  <w:szCs w:val="20"/>
                </w:rPr>
                <w:t>Číslo: 1/2011</w:t>
              </w:r>
            </w:hyperlink>
            <w:r w:rsidR="008D7E49" w:rsidRPr="00E61ABE">
              <w:rPr>
                <w:rStyle w:val="apple-converted-space"/>
                <w:rFonts w:ascii="Garamond" w:hAnsi="Garamond"/>
                <w:sz w:val="20"/>
                <w:szCs w:val="20"/>
              </w:rPr>
              <w:t> </w:t>
            </w:r>
            <w:r w:rsidR="008D7E49" w:rsidRPr="00E61ABE">
              <w:rPr>
                <w:rFonts w:ascii="Garamond" w:hAnsi="Garamond"/>
                <w:sz w:val="20"/>
                <w:szCs w:val="20"/>
              </w:rPr>
              <w:br/>
              <w:t>Ročník: 9</w:t>
            </w:r>
          </w:p>
          <w:p w:rsidR="00067910" w:rsidRPr="00E61ABE" w:rsidRDefault="00067910" w:rsidP="00E61ABE">
            <w:pPr>
              <w:spacing w:after="0" w:line="240" w:lineRule="auto"/>
              <w:rPr>
                <w:rFonts w:ascii="Garamond" w:hAnsi="Garamond"/>
                <w:sz w:val="20"/>
                <w:szCs w:val="20"/>
              </w:rPr>
            </w:pPr>
          </w:p>
          <w:p w:rsidR="00067910" w:rsidRPr="00E61ABE" w:rsidRDefault="00067910"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2164</w:t>
            </w:r>
          </w:p>
        </w:tc>
      </w:tr>
      <w:tr w:rsidR="00067910" w:rsidRPr="00E61ABE" w:rsidTr="00067910">
        <w:trPr>
          <w:tblCellSpacing w:w="15" w:type="dxa"/>
        </w:trPr>
        <w:tc>
          <w:tcPr>
            <w:tcW w:w="0" w:type="auto"/>
            <w:shd w:val="clear" w:color="auto" w:fill="FFFFFF"/>
            <w:vAlign w:val="center"/>
            <w:hideMark/>
          </w:tcPr>
          <w:p w:rsidR="00067910" w:rsidRPr="00E61ABE" w:rsidRDefault="00067910" w:rsidP="00321605">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Řízení před soudem: rozhodnutí o odložení žádosti o poskytnutí informace Kompetenční výluka: sdělení požadavku na úhradu za poskytnutí informace; rozhodnutí o stížnosti proti výši úhrady Svobodný přístup k</w:t>
            </w:r>
            <w:r w:rsidR="00321605">
              <w:rPr>
                <w:rFonts w:ascii="Garamond" w:eastAsia="Times New Roman" w:hAnsi="Garamond" w:cs="Times New Roman"/>
                <w:b/>
                <w:bCs/>
                <w:sz w:val="20"/>
                <w:szCs w:val="20"/>
                <w:lang w:eastAsia="cs-CZ"/>
              </w:rPr>
              <w:t> </w:t>
            </w:r>
            <w:r w:rsidRPr="00E61ABE">
              <w:rPr>
                <w:rFonts w:ascii="Garamond" w:eastAsia="Times New Roman" w:hAnsi="Garamond" w:cs="Times New Roman"/>
                <w:b/>
                <w:bCs/>
                <w:sz w:val="20"/>
                <w:szCs w:val="20"/>
                <w:lang w:eastAsia="cs-CZ"/>
              </w:rPr>
              <w:t>informacím: úhrada za poskytnutí informace</w:t>
            </w:r>
          </w:p>
        </w:tc>
      </w:tr>
      <w:tr w:rsidR="00067910" w:rsidRPr="00E61ABE" w:rsidTr="00067910">
        <w:trPr>
          <w:tblCellSpacing w:w="15" w:type="dxa"/>
        </w:trPr>
        <w:tc>
          <w:tcPr>
            <w:tcW w:w="0" w:type="auto"/>
            <w:shd w:val="clear" w:color="auto" w:fill="FFFFFF"/>
            <w:vAlign w:val="center"/>
            <w:hideMark/>
          </w:tcPr>
          <w:p w:rsidR="00067910" w:rsidRPr="00E61ABE" w:rsidRDefault="00067910" w:rsidP="003216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I. Sdělení požadavku na úhradu za poskytnutí informace a o výši této úhrady (§ 17 odst. 3 zákona č. 106/1999 Sb., o</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 xml:space="preserve">svobodném přístupu k informacím), ani rozhodnutí o stížnosti žadatele, který nesouhlasí s výší úhrady jemu sdělené (§ 16a odst. 7 téhož zákona), nejsou rozhodnutími ve smyslu § 65 s. </w:t>
            </w:r>
            <w:proofErr w:type="spellStart"/>
            <w:r w:rsidRPr="00E61ABE">
              <w:rPr>
                <w:rFonts w:ascii="Garamond" w:eastAsia="Times New Roman" w:hAnsi="Garamond" w:cs="Times New Roman"/>
                <w:sz w:val="20"/>
                <w:szCs w:val="20"/>
                <w:lang w:eastAsia="cs-CZ"/>
              </w:rPr>
              <w:t>ř</w:t>
            </w:r>
            <w:proofErr w:type="spellEnd"/>
            <w:r w:rsidRPr="00E61ABE">
              <w:rPr>
                <w:rFonts w:ascii="Garamond" w:eastAsia="Times New Roman" w:hAnsi="Garamond" w:cs="Times New Roman"/>
                <w:sz w:val="20"/>
                <w:szCs w:val="20"/>
                <w:lang w:eastAsia="cs-CZ"/>
              </w:rPr>
              <w:t xml:space="preserve">. s., ani rozhodnutími správního orgánu ve věci soukromoprávní [§ 68 písm. b) s. </w:t>
            </w:r>
            <w:proofErr w:type="spellStart"/>
            <w:r w:rsidRPr="00E61ABE">
              <w:rPr>
                <w:rFonts w:ascii="Garamond" w:eastAsia="Times New Roman" w:hAnsi="Garamond" w:cs="Times New Roman"/>
                <w:sz w:val="20"/>
                <w:szCs w:val="20"/>
                <w:lang w:eastAsia="cs-CZ"/>
              </w:rPr>
              <w:t>ř</w:t>
            </w:r>
            <w:proofErr w:type="spellEnd"/>
            <w:r w:rsidRPr="00E61ABE">
              <w:rPr>
                <w:rFonts w:ascii="Garamond" w:eastAsia="Times New Roman" w:hAnsi="Garamond" w:cs="Times New Roman"/>
                <w:sz w:val="20"/>
                <w:szCs w:val="20"/>
                <w:lang w:eastAsia="cs-CZ"/>
              </w:rPr>
              <w:t>. s.].</w:t>
            </w:r>
          </w:p>
        </w:tc>
      </w:tr>
      <w:tr w:rsidR="00067910" w:rsidRPr="00E61ABE" w:rsidTr="00067910">
        <w:trPr>
          <w:tblCellSpacing w:w="15" w:type="dxa"/>
        </w:trPr>
        <w:tc>
          <w:tcPr>
            <w:tcW w:w="0" w:type="auto"/>
            <w:shd w:val="clear" w:color="auto" w:fill="FFFFFF"/>
            <w:vAlign w:val="center"/>
            <w:hideMark/>
          </w:tcPr>
          <w:p w:rsidR="00067910" w:rsidRPr="00E61ABE" w:rsidRDefault="00067910" w:rsidP="003216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II. Rozhodnutím podle § 65 s. </w:t>
            </w:r>
            <w:proofErr w:type="spellStart"/>
            <w:r w:rsidRPr="00E61ABE">
              <w:rPr>
                <w:rFonts w:ascii="Garamond" w:eastAsia="Times New Roman" w:hAnsi="Garamond" w:cs="Times New Roman"/>
                <w:sz w:val="20"/>
                <w:szCs w:val="20"/>
                <w:lang w:eastAsia="cs-CZ"/>
              </w:rPr>
              <w:t>ř</w:t>
            </w:r>
            <w:proofErr w:type="spellEnd"/>
            <w:r w:rsidRPr="00E61ABE">
              <w:rPr>
                <w:rFonts w:ascii="Garamond" w:eastAsia="Times New Roman" w:hAnsi="Garamond" w:cs="Times New Roman"/>
                <w:sz w:val="20"/>
                <w:szCs w:val="20"/>
                <w:lang w:eastAsia="cs-CZ"/>
              </w:rPr>
              <w:t>. s. je však rozhodnutí, jímž povinný subjekt žádost o poskytnutí informace pro</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nezaplacení úhrady odložil (§ 17 odst. 5 zákona č. 106/1999 Sb., o svobodném přístupu k informacím).</w:t>
            </w:r>
          </w:p>
        </w:tc>
      </w:tr>
      <w:tr w:rsidR="00067910" w:rsidRPr="00E61ABE" w:rsidTr="00067910">
        <w:trPr>
          <w:tblCellSpacing w:w="15" w:type="dxa"/>
        </w:trPr>
        <w:tc>
          <w:tcPr>
            <w:tcW w:w="0" w:type="auto"/>
            <w:shd w:val="clear" w:color="auto" w:fill="FFFFFF"/>
            <w:vAlign w:val="center"/>
            <w:hideMark/>
          </w:tcPr>
          <w:p w:rsidR="00067910" w:rsidRPr="00E61ABE" w:rsidRDefault="00067910" w:rsidP="00837C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III. Uhradil-li žadatel i přes zamítnutí své stížnosti do výše úhrady požadovanou částku, aby informaci získal, může se domáhat vydání bezdůvodného obohacení žalobou podle třetí části občanského soudního řádu proti státu nebo jinému povinnému subjektu.</w:t>
            </w:r>
          </w:p>
        </w:tc>
      </w:tr>
      <w:tr w:rsidR="00067910" w:rsidRPr="00E61ABE" w:rsidTr="00067910">
        <w:trPr>
          <w:tblCellSpacing w:w="15" w:type="dxa"/>
        </w:trPr>
        <w:tc>
          <w:tcPr>
            <w:tcW w:w="0" w:type="auto"/>
            <w:shd w:val="clear" w:color="auto" w:fill="FFFFFF"/>
            <w:vAlign w:val="center"/>
            <w:hideMark/>
          </w:tcPr>
          <w:p w:rsidR="00067910" w:rsidRPr="00E61ABE" w:rsidRDefault="00067910"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(Podle rozsudku Nejvyššího správního soudu ze dne </w:t>
            </w:r>
            <w:proofErr w:type="gramStart"/>
            <w:r w:rsidRPr="00E61ABE">
              <w:rPr>
                <w:rFonts w:ascii="Garamond" w:eastAsia="Times New Roman" w:hAnsi="Garamond" w:cs="Times New Roman"/>
                <w:sz w:val="20"/>
                <w:szCs w:val="20"/>
                <w:lang w:eastAsia="cs-CZ"/>
              </w:rPr>
              <w:t>21.09.2010</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2 As 34/2008 - 90)</w:t>
            </w:r>
          </w:p>
        </w:tc>
      </w:tr>
    </w:tbl>
    <w:p w:rsidR="008D7E49" w:rsidRPr="00E61ABE" w:rsidRDefault="008D7E49" w:rsidP="00E61ABE">
      <w:pPr>
        <w:rPr>
          <w:rFonts w:ascii="Garamond" w:hAnsi="Garamond"/>
          <w:sz w:val="20"/>
          <w:szCs w:val="20"/>
        </w:rPr>
      </w:pPr>
    </w:p>
    <w:tbl>
      <w:tblPr>
        <w:tblW w:w="0" w:type="auto"/>
        <w:tblCellSpacing w:w="15" w:type="dxa"/>
        <w:shd w:val="clear" w:color="auto" w:fill="FFFFFF"/>
        <w:tblCellMar>
          <w:top w:w="15" w:type="dxa"/>
          <w:left w:w="15" w:type="dxa"/>
          <w:bottom w:w="15" w:type="dxa"/>
          <w:right w:w="15" w:type="dxa"/>
        </w:tblCellMar>
        <w:tblLook w:val="04A0"/>
      </w:tblPr>
      <w:tblGrid>
        <w:gridCol w:w="9162"/>
      </w:tblGrid>
      <w:tr w:rsidR="008D7E49" w:rsidRPr="00E61ABE" w:rsidTr="008D7E49">
        <w:trPr>
          <w:tblCellSpacing w:w="15" w:type="dxa"/>
        </w:trPr>
        <w:tc>
          <w:tcPr>
            <w:tcW w:w="0" w:type="auto"/>
            <w:shd w:val="clear" w:color="auto" w:fill="FFFFFF"/>
            <w:vAlign w:val="center"/>
            <w:hideMark/>
          </w:tcPr>
          <w:p w:rsidR="008D7E49" w:rsidRPr="00E61ABE" w:rsidRDefault="00C25628" w:rsidP="00E61ABE">
            <w:pPr>
              <w:spacing w:after="0" w:line="240" w:lineRule="auto"/>
              <w:rPr>
                <w:rStyle w:val="apple-converted-space"/>
                <w:rFonts w:ascii="Garamond" w:hAnsi="Garamond"/>
                <w:sz w:val="20"/>
                <w:szCs w:val="20"/>
              </w:rPr>
            </w:pPr>
            <w:hyperlink r:id="rId19" w:history="1">
              <w:r w:rsidR="008D7E49" w:rsidRPr="00E61ABE">
                <w:rPr>
                  <w:rStyle w:val="Hypertextovodkaz"/>
                  <w:rFonts w:ascii="Garamond" w:hAnsi="Garamond"/>
                  <w:b/>
                  <w:bCs/>
                  <w:color w:val="auto"/>
                  <w:sz w:val="20"/>
                  <w:szCs w:val="20"/>
                </w:rPr>
                <w:t>Číslo: 10/2010</w:t>
              </w:r>
            </w:hyperlink>
            <w:r w:rsidR="008D7E49" w:rsidRPr="00E61ABE">
              <w:rPr>
                <w:rStyle w:val="apple-converted-space"/>
                <w:rFonts w:ascii="Garamond" w:hAnsi="Garamond"/>
                <w:sz w:val="20"/>
                <w:szCs w:val="20"/>
              </w:rPr>
              <w:t> </w:t>
            </w:r>
            <w:r w:rsidR="008D7E49" w:rsidRPr="00E61ABE">
              <w:rPr>
                <w:rFonts w:ascii="Garamond" w:hAnsi="Garamond"/>
                <w:sz w:val="20"/>
                <w:szCs w:val="20"/>
              </w:rPr>
              <w:br/>
              <w:t>Ročník: 8</w:t>
            </w:r>
            <w:r w:rsidR="008D7E49" w:rsidRPr="00E61ABE">
              <w:rPr>
                <w:rStyle w:val="apple-converted-space"/>
                <w:rFonts w:ascii="Garamond" w:hAnsi="Garamond"/>
                <w:sz w:val="20"/>
                <w:szCs w:val="20"/>
              </w:rPr>
              <w:t> </w:t>
            </w:r>
          </w:p>
          <w:p w:rsidR="008D7E49" w:rsidRPr="00E61ABE" w:rsidRDefault="008D7E49"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Rozhodnutí č: 2128</w:t>
            </w:r>
          </w:p>
        </w:tc>
      </w:tr>
      <w:tr w:rsidR="008D7E49" w:rsidRPr="00E61ABE" w:rsidTr="008D7E49">
        <w:trPr>
          <w:tblCellSpacing w:w="15" w:type="dxa"/>
        </w:trPr>
        <w:tc>
          <w:tcPr>
            <w:tcW w:w="0" w:type="auto"/>
            <w:shd w:val="clear" w:color="auto" w:fill="FFFFFF"/>
            <w:vAlign w:val="center"/>
            <w:hideMark/>
          </w:tcPr>
          <w:p w:rsidR="008D7E49" w:rsidRPr="00E61ABE" w:rsidRDefault="008D7E49" w:rsidP="00E61ABE">
            <w:pPr>
              <w:spacing w:after="0" w:line="240" w:lineRule="auto"/>
              <w:outlineLvl w:val="2"/>
              <w:rPr>
                <w:rFonts w:ascii="Garamond" w:eastAsia="Times New Roman" w:hAnsi="Garamond" w:cs="Times New Roman"/>
                <w:b/>
                <w:bCs/>
                <w:sz w:val="20"/>
                <w:szCs w:val="20"/>
                <w:lang w:eastAsia="cs-CZ"/>
              </w:rPr>
            </w:pPr>
            <w:r w:rsidRPr="00E61ABE">
              <w:rPr>
                <w:rFonts w:ascii="Garamond" w:eastAsia="Times New Roman" w:hAnsi="Garamond" w:cs="Times New Roman"/>
                <w:b/>
                <w:bCs/>
                <w:sz w:val="20"/>
                <w:szCs w:val="20"/>
                <w:lang w:eastAsia="cs-CZ"/>
              </w:rPr>
              <w:t>Svobodný přístup k informacím: informace, na něž se vztahuje povinnost zachovávat mlčenlivost; přístup ke zprávě o posouzení a hodnocení nabídek</w:t>
            </w:r>
          </w:p>
        </w:tc>
      </w:tr>
      <w:tr w:rsidR="008D7E49" w:rsidRPr="00E61ABE" w:rsidTr="008D7E49">
        <w:trPr>
          <w:tblCellSpacing w:w="15" w:type="dxa"/>
        </w:trPr>
        <w:tc>
          <w:tcPr>
            <w:tcW w:w="0" w:type="auto"/>
            <w:shd w:val="clear" w:color="auto" w:fill="FFFFFF"/>
            <w:vAlign w:val="center"/>
            <w:hideMark/>
          </w:tcPr>
          <w:p w:rsidR="008D7E49" w:rsidRPr="00E61ABE" w:rsidRDefault="008D7E49" w:rsidP="00837C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I. Informace, na něž se vztahuje povinnost zachovávat mlčenlivost (§ 19 zákona č. 106/1999 Sb., o svobodném přístupu k informacím), lze poskytnout pouze tehdy, jestliže tomu nebrání některý z důvodů odepření informací (např. ochrana utajovaných informací, ochrana osobnosti, soukromí a osobních údajů, ochrana obchodního tajemství, ochrana důvěrnosti majetkových poměrů, další omezení dle § 11 téhož zákona).</w:t>
            </w:r>
          </w:p>
        </w:tc>
      </w:tr>
      <w:tr w:rsidR="008D7E49" w:rsidRPr="00E61ABE" w:rsidTr="008D7E49">
        <w:trPr>
          <w:tblCellSpacing w:w="15" w:type="dxa"/>
        </w:trPr>
        <w:tc>
          <w:tcPr>
            <w:tcW w:w="0" w:type="auto"/>
            <w:shd w:val="clear" w:color="auto" w:fill="FFFFFF"/>
            <w:vAlign w:val="center"/>
            <w:hideMark/>
          </w:tcPr>
          <w:p w:rsidR="008D7E49" w:rsidRPr="00E61ABE" w:rsidRDefault="008D7E49" w:rsidP="00321605">
            <w:pPr>
              <w:spacing w:after="0" w:line="240" w:lineRule="auto"/>
              <w:jc w:val="both"/>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II. Ustanovení § 80 odst. 3 zákona č. 137/2006 Sb., o veřejných zakázkách, nepředstavuje zvláštní důvod pro</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odmítnutí žádosti o poskytnutí informace, nýbrž pouze zaručuje uchazečům o veřejnou zakázku okamžitý přístup k</w:t>
            </w:r>
            <w:r w:rsidR="00321605">
              <w:rPr>
                <w:rFonts w:ascii="Garamond" w:eastAsia="Times New Roman" w:hAnsi="Garamond" w:cs="Times New Roman"/>
                <w:sz w:val="20"/>
                <w:szCs w:val="20"/>
                <w:lang w:eastAsia="cs-CZ"/>
              </w:rPr>
              <w:t> </w:t>
            </w:r>
            <w:r w:rsidRPr="00E61ABE">
              <w:rPr>
                <w:rFonts w:ascii="Garamond" w:eastAsia="Times New Roman" w:hAnsi="Garamond" w:cs="Times New Roman"/>
                <w:sz w:val="20"/>
                <w:szCs w:val="20"/>
                <w:lang w:eastAsia="cs-CZ"/>
              </w:rPr>
              <w:t>úplnému znění zprávy o posouzení a hodnocení nabídek.</w:t>
            </w:r>
          </w:p>
        </w:tc>
      </w:tr>
      <w:tr w:rsidR="008D7E49" w:rsidRPr="00E61ABE" w:rsidTr="008D7E49">
        <w:trPr>
          <w:tblCellSpacing w:w="15" w:type="dxa"/>
        </w:trPr>
        <w:tc>
          <w:tcPr>
            <w:tcW w:w="0" w:type="auto"/>
            <w:shd w:val="clear" w:color="auto" w:fill="FFFFFF"/>
            <w:vAlign w:val="center"/>
            <w:hideMark/>
          </w:tcPr>
          <w:p w:rsidR="008D7E49" w:rsidRPr="00E61ABE" w:rsidRDefault="008D7E49" w:rsidP="00E61ABE">
            <w:pPr>
              <w:spacing w:after="0" w:line="240" w:lineRule="auto"/>
              <w:rPr>
                <w:rFonts w:ascii="Garamond" w:eastAsia="Times New Roman" w:hAnsi="Garamond" w:cs="Times New Roman"/>
                <w:sz w:val="20"/>
                <w:szCs w:val="20"/>
                <w:lang w:eastAsia="cs-CZ"/>
              </w:rPr>
            </w:pPr>
            <w:r w:rsidRPr="00E61ABE">
              <w:rPr>
                <w:rFonts w:ascii="Garamond" w:eastAsia="Times New Roman" w:hAnsi="Garamond" w:cs="Times New Roman"/>
                <w:sz w:val="20"/>
                <w:szCs w:val="20"/>
                <w:lang w:eastAsia="cs-CZ"/>
              </w:rPr>
              <w:t xml:space="preserve">(Podle rozsudku Nejvyššího správního soudu ze dne </w:t>
            </w:r>
            <w:proofErr w:type="gramStart"/>
            <w:r w:rsidRPr="00E61ABE">
              <w:rPr>
                <w:rFonts w:ascii="Garamond" w:eastAsia="Times New Roman" w:hAnsi="Garamond" w:cs="Times New Roman"/>
                <w:sz w:val="20"/>
                <w:szCs w:val="20"/>
                <w:lang w:eastAsia="cs-CZ"/>
              </w:rPr>
              <w:t>17.06.2010</w:t>
            </w:r>
            <w:proofErr w:type="gramEnd"/>
            <w:r w:rsidRPr="00E61ABE">
              <w:rPr>
                <w:rFonts w:ascii="Garamond" w:eastAsia="Times New Roman" w:hAnsi="Garamond" w:cs="Times New Roman"/>
                <w:sz w:val="20"/>
                <w:szCs w:val="20"/>
                <w:lang w:eastAsia="cs-CZ"/>
              </w:rPr>
              <w:t xml:space="preserve">, </w:t>
            </w:r>
            <w:proofErr w:type="spellStart"/>
            <w:r w:rsidRPr="00E61ABE">
              <w:rPr>
                <w:rFonts w:ascii="Garamond" w:eastAsia="Times New Roman" w:hAnsi="Garamond" w:cs="Times New Roman"/>
                <w:sz w:val="20"/>
                <w:szCs w:val="20"/>
                <w:lang w:eastAsia="cs-CZ"/>
              </w:rPr>
              <w:t>čj</w:t>
            </w:r>
            <w:proofErr w:type="spellEnd"/>
            <w:r w:rsidRPr="00E61ABE">
              <w:rPr>
                <w:rFonts w:ascii="Garamond" w:eastAsia="Times New Roman" w:hAnsi="Garamond" w:cs="Times New Roman"/>
                <w:sz w:val="20"/>
                <w:szCs w:val="20"/>
                <w:lang w:eastAsia="cs-CZ"/>
              </w:rPr>
              <w:t>. 1 As 28/2010 - 86)</w:t>
            </w:r>
          </w:p>
        </w:tc>
      </w:tr>
    </w:tbl>
    <w:p w:rsidR="008D7E49" w:rsidRPr="00E61ABE" w:rsidRDefault="008D7E49"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9162"/>
      </w:tblGrid>
      <w:tr w:rsidR="008D7E49" w:rsidRPr="00E61ABE" w:rsidTr="008D7E49">
        <w:trPr>
          <w:tblCellSpacing w:w="15" w:type="dxa"/>
        </w:trPr>
        <w:tc>
          <w:tcPr>
            <w:tcW w:w="0" w:type="auto"/>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tblPr>
            <w:tblGrid>
              <w:gridCol w:w="9072"/>
            </w:tblGrid>
            <w:tr w:rsidR="008D7E49" w:rsidRPr="00E61ABE" w:rsidTr="008D7E49">
              <w:trPr>
                <w:tblCellSpacing w:w="15" w:type="dxa"/>
              </w:trPr>
              <w:tc>
                <w:tcPr>
                  <w:tcW w:w="0" w:type="auto"/>
                  <w:shd w:val="clear" w:color="auto" w:fill="FFFFFF"/>
                  <w:vAlign w:val="center"/>
                  <w:hideMark/>
                </w:tcPr>
                <w:p w:rsidR="008D7E49" w:rsidRPr="00E61ABE" w:rsidRDefault="00C25628" w:rsidP="00E61ABE">
                  <w:pPr>
                    <w:spacing w:after="0" w:line="240" w:lineRule="auto"/>
                    <w:rPr>
                      <w:rStyle w:val="apple-converted-space"/>
                      <w:rFonts w:ascii="Garamond" w:hAnsi="Garamond" w:cs="Arial"/>
                      <w:sz w:val="20"/>
                      <w:szCs w:val="20"/>
                    </w:rPr>
                  </w:pPr>
                  <w:hyperlink r:id="rId20" w:history="1">
                    <w:r w:rsidR="008D7E49" w:rsidRPr="00E61ABE">
                      <w:rPr>
                        <w:rStyle w:val="Hypertextovodkaz"/>
                        <w:rFonts w:ascii="Garamond" w:hAnsi="Garamond" w:cs="Arial"/>
                        <w:b/>
                        <w:bCs/>
                        <w:color w:val="auto"/>
                        <w:sz w:val="20"/>
                        <w:szCs w:val="20"/>
                      </w:rPr>
                      <w:t>Číslo: 9/2010</w:t>
                    </w:r>
                  </w:hyperlink>
                  <w:r w:rsidR="008D7E49" w:rsidRPr="00E61ABE">
                    <w:rPr>
                      <w:rStyle w:val="apple-converted-space"/>
                      <w:rFonts w:ascii="Garamond" w:hAnsi="Garamond" w:cs="Arial"/>
                      <w:sz w:val="20"/>
                      <w:szCs w:val="20"/>
                    </w:rPr>
                    <w:t> </w:t>
                  </w:r>
                  <w:r w:rsidR="008D7E49" w:rsidRPr="00E61ABE">
                    <w:rPr>
                      <w:rFonts w:ascii="Garamond" w:hAnsi="Garamond" w:cs="Arial"/>
                      <w:sz w:val="20"/>
                      <w:szCs w:val="20"/>
                    </w:rPr>
                    <w:br/>
                    <w:t>Ročník: 8</w:t>
                  </w:r>
                  <w:r w:rsidR="008D7E49" w:rsidRPr="00E61ABE">
                    <w:rPr>
                      <w:rStyle w:val="apple-converted-space"/>
                      <w:rFonts w:ascii="Garamond" w:hAnsi="Garamond" w:cs="Arial"/>
                      <w:sz w:val="20"/>
                      <w:szCs w:val="20"/>
                    </w:rPr>
                    <w:t> </w:t>
                  </w:r>
                </w:p>
                <w:p w:rsidR="008D7E49" w:rsidRPr="00E61ABE" w:rsidRDefault="008D7E49" w:rsidP="00E61ABE">
                  <w:pPr>
                    <w:spacing w:after="0" w:line="240" w:lineRule="auto"/>
                    <w:rPr>
                      <w:rStyle w:val="apple-converted-space"/>
                      <w:rFonts w:ascii="Garamond" w:hAnsi="Garamond" w:cs="Arial"/>
                      <w:sz w:val="20"/>
                      <w:szCs w:val="20"/>
                    </w:rPr>
                  </w:pPr>
                </w:p>
                <w:p w:rsidR="008D7E49" w:rsidRPr="00E61ABE" w:rsidRDefault="008D7E49" w:rsidP="00E61ABE">
                  <w:pPr>
                    <w:spacing w:after="0" w:line="240" w:lineRule="auto"/>
                    <w:rPr>
                      <w:rFonts w:ascii="Garamond" w:hAnsi="Garamond" w:cs="Arial"/>
                      <w:sz w:val="20"/>
                      <w:szCs w:val="20"/>
                    </w:rPr>
                  </w:pPr>
                  <w:r w:rsidRPr="00E61ABE">
                    <w:rPr>
                      <w:rFonts w:ascii="Garamond" w:hAnsi="Garamond" w:cs="Arial"/>
                      <w:sz w:val="20"/>
                      <w:szCs w:val="20"/>
                    </w:rPr>
                    <w:t>Rozhodnutí č: 2109</w:t>
                  </w:r>
                </w:p>
              </w:tc>
            </w:tr>
            <w:tr w:rsidR="008D7E49" w:rsidRPr="00E61ABE" w:rsidTr="008D7E49">
              <w:trPr>
                <w:tblCellSpacing w:w="15" w:type="dxa"/>
              </w:trPr>
              <w:tc>
                <w:tcPr>
                  <w:tcW w:w="0" w:type="auto"/>
                  <w:shd w:val="clear" w:color="auto" w:fill="FFFFFF"/>
                  <w:vAlign w:val="center"/>
                  <w:hideMark/>
                </w:tcPr>
                <w:p w:rsidR="008D7E49" w:rsidRPr="00E61ABE" w:rsidRDefault="008D7E49" w:rsidP="00E61ABE">
                  <w:pPr>
                    <w:spacing w:after="0" w:line="240" w:lineRule="auto"/>
                    <w:outlineLvl w:val="2"/>
                    <w:rPr>
                      <w:rFonts w:ascii="Garamond" w:hAnsi="Garamond" w:cs="Arial"/>
                      <w:b/>
                      <w:sz w:val="20"/>
                      <w:szCs w:val="20"/>
                    </w:rPr>
                  </w:pPr>
                  <w:r w:rsidRPr="00E61ABE">
                    <w:rPr>
                      <w:rFonts w:ascii="Garamond" w:hAnsi="Garamond" w:cs="Arial"/>
                      <w:b/>
                      <w:sz w:val="20"/>
                      <w:szCs w:val="20"/>
                    </w:rPr>
                    <w:t>Svobodný přístup k informacím: informace o příjemcích veřejných prostředků</w:t>
                  </w:r>
                </w:p>
              </w:tc>
            </w:tr>
            <w:tr w:rsidR="008D7E49" w:rsidRPr="00E61ABE" w:rsidTr="008D7E49">
              <w:trPr>
                <w:tblCellSpacing w:w="15" w:type="dxa"/>
              </w:trPr>
              <w:tc>
                <w:tcPr>
                  <w:tcW w:w="0" w:type="auto"/>
                  <w:shd w:val="clear" w:color="auto" w:fill="FFFFFF"/>
                  <w:vAlign w:val="center"/>
                  <w:hideMark/>
                </w:tcPr>
                <w:p w:rsidR="008D7E49" w:rsidRPr="00E61ABE" w:rsidRDefault="008D7E49" w:rsidP="00837C05">
                  <w:pPr>
                    <w:spacing w:after="0" w:line="240" w:lineRule="auto"/>
                    <w:jc w:val="both"/>
                    <w:rPr>
                      <w:rFonts w:ascii="Garamond" w:hAnsi="Garamond" w:cs="Arial"/>
                      <w:sz w:val="20"/>
                      <w:szCs w:val="20"/>
                    </w:rPr>
                  </w:pPr>
                  <w:r w:rsidRPr="00E61ABE">
                    <w:rPr>
                      <w:rFonts w:ascii="Garamond" w:hAnsi="Garamond" w:cs="Arial"/>
                      <w:sz w:val="20"/>
                      <w:szCs w:val="20"/>
                    </w:rPr>
                    <w:t>I. Na poskytování informací o příjemcích veřejných prostředků podle § 8b zákona č. 106/1999 Sb., o svobodném přístupu k informacím, ustanovení § 10 citovaného zákona (ochrana důvěrnosti majetkových poměrů) nedopadá.</w:t>
                  </w:r>
                </w:p>
              </w:tc>
            </w:tr>
            <w:tr w:rsidR="008D7E49" w:rsidRPr="00E61ABE" w:rsidTr="008D7E49">
              <w:trPr>
                <w:tblCellSpacing w:w="15" w:type="dxa"/>
              </w:trPr>
              <w:tc>
                <w:tcPr>
                  <w:tcW w:w="0" w:type="auto"/>
                  <w:shd w:val="clear" w:color="auto" w:fill="FFFFFF"/>
                  <w:vAlign w:val="center"/>
                  <w:hideMark/>
                </w:tcPr>
                <w:p w:rsidR="008D7E49" w:rsidRPr="00E61ABE" w:rsidRDefault="008D7E49" w:rsidP="00321605">
                  <w:pPr>
                    <w:spacing w:after="0" w:line="240" w:lineRule="auto"/>
                    <w:jc w:val="both"/>
                    <w:rPr>
                      <w:rFonts w:ascii="Garamond" w:hAnsi="Garamond" w:cs="Arial"/>
                      <w:sz w:val="20"/>
                      <w:szCs w:val="20"/>
                    </w:rPr>
                  </w:pPr>
                  <w:r w:rsidRPr="00E61ABE">
                    <w:rPr>
                      <w:rFonts w:ascii="Garamond" w:hAnsi="Garamond" w:cs="Arial"/>
                      <w:sz w:val="20"/>
                      <w:szCs w:val="20"/>
                    </w:rPr>
                    <w:t>II. Prominutí daně či jejího příslušenství na základě rozhodnutí vydaného správcem daně podle § 55a zákona č.</w:t>
                  </w:r>
                  <w:r w:rsidR="00321605">
                    <w:rPr>
                      <w:rFonts w:ascii="Garamond" w:hAnsi="Garamond" w:cs="Arial"/>
                      <w:sz w:val="20"/>
                      <w:szCs w:val="20"/>
                    </w:rPr>
                    <w:t> </w:t>
                  </w:r>
                  <w:r w:rsidRPr="00E61ABE">
                    <w:rPr>
                      <w:rFonts w:ascii="Garamond" w:hAnsi="Garamond" w:cs="Arial"/>
                      <w:sz w:val="20"/>
                      <w:szCs w:val="20"/>
                    </w:rPr>
                    <w:t>337/1992 Sb., o správě daní a poplatků, je poskytnutím veřejných prostředků podle § 8b zákona č. 106/1999 Sb., o</w:t>
                  </w:r>
                  <w:r w:rsidR="00321605">
                    <w:rPr>
                      <w:rFonts w:ascii="Garamond" w:hAnsi="Garamond" w:cs="Arial"/>
                      <w:sz w:val="20"/>
                      <w:szCs w:val="20"/>
                    </w:rPr>
                    <w:t> </w:t>
                  </w:r>
                  <w:r w:rsidRPr="00E61ABE">
                    <w:rPr>
                      <w:rFonts w:ascii="Garamond" w:hAnsi="Garamond" w:cs="Arial"/>
                      <w:sz w:val="20"/>
                      <w:szCs w:val="20"/>
                    </w:rPr>
                    <w:t>svobodném přístupu k informacím.</w:t>
                  </w:r>
                </w:p>
              </w:tc>
            </w:tr>
            <w:tr w:rsidR="008D7E49" w:rsidRPr="00E61ABE" w:rsidTr="008D7E49">
              <w:trPr>
                <w:tblCellSpacing w:w="15" w:type="dxa"/>
              </w:trPr>
              <w:tc>
                <w:tcPr>
                  <w:tcW w:w="0" w:type="auto"/>
                  <w:shd w:val="clear" w:color="auto" w:fill="FFFFFF"/>
                  <w:vAlign w:val="center"/>
                  <w:hideMark/>
                </w:tcPr>
                <w:p w:rsidR="008D7E49" w:rsidRPr="00E61ABE" w:rsidRDefault="008D7E49" w:rsidP="00E61ABE">
                  <w:pPr>
                    <w:spacing w:after="0" w:line="240" w:lineRule="auto"/>
                    <w:rPr>
                      <w:rFonts w:ascii="Garamond" w:hAnsi="Garamond" w:cs="Arial"/>
                      <w:sz w:val="20"/>
                      <w:szCs w:val="20"/>
                    </w:rPr>
                  </w:pPr>
                  <w:r w:rsidRPr="00E61ABE">
                    <w:rPr>
                      <w:rFonts w:ascii="Garamond" w:hAnsi="Garamond" w:cs="Arial"/>
                      <w:sz w:val="20"/>
                      <w:szCs w:val="20"/>
                    </w:rPr>
                    <w:t xml:space="preserve">(Podle rozsudku Nejvyššího správního soudu ze dne </w:t>
                  </w:r>
                  <w:proofErr w:type="gramStart"/>
                  <w:r w:rsidRPr="00E61ABE">
                    <w:rPr>
                      <w:rFonts w:ascii="Garamond" w:hAnsi="Garamond" w:cs="Arial"/>
                      <w:sz w:val="20"/>
                      <w:szCs w:val="20"/>
                    </w:rPr>
                    <w:t>01.06.2010</w:t>
                  </w:r>
                  <w:proofErr w:type="gramEnd"/>
                  <w:r w:rsidRPr="00E61ABE">
                    <w:rPr>
                      <w:rFonts w:ascii="Garamond" w:hAnsi="Garamond" w:cs="Arial"/>
                      <w:sz w:val="20"/>
                      <w:szCs w:val="20"/>
                    </w:rPr>
                    <w:t xml:space="preserve">, </w:t>
                  </w:r>
                  <w:proofErr w:type="spellStart"/>
                  <w:r w:rsidRPr="00E61ABE">
                    <w:rPr>
                      <w:rFonts w:ascii="Garamond" w:hAnsi="Garamond" w:cs="Arial"/>
                      <w:sz w:val="20"/>
                      <w:szCs w:val="20"/>
                    </w:rPr>
                    <w:t>čj</w:t>
                  </w:r>
                  <w:proofErr w:type="spellEnd"/>
                  <w:r w:rsidRPr="00E61ABE">
                    <w:rPr>
                      <w:rFonts w:ascii="Garamond" w:hAnsi="Garamond" w:cs="Arial"/>
                      <w:sz w:val="20"/>
                      <w:szCs w:val="20"/>
                    </w:rPr>
                    <w:t>. 5 As 64/2008 - 155)</w:t>
                  </w:r>
                </w:p>
              </w:tc>
            </w:tr>
          </w:tbl>
          <w:p w:rsidR="008D7E49" w:rsidRPr="00E61ABE" w:rsidRDefault="008D7E49" w:rsidP="00E61ABE">
            <w:pPr>
              <w:spacing w:after="0"/>
              <w:rPr>
                <w:rFonts w:ascii="Garamond" w:hAnsi="Garamond" w:cs="Arial"/>
                <w:sz w:val="20"/>
                <w:szCs w:val="20"/>
              </w:rPr>
            </w:pPr>
          </w:p>
          <w:p w:rsidR="008D7E49" w:rsidRPr="00E61ABE" w:rsidRDefault="008D7E49" w:rsidP="00E61ABE">
            <w:pPr>
              <w:spacing w:after="0"/>
              <w:rPr>
                <w:rFonts w:ascii="Garamond" w:hAnsi="Garamond" w:cs="Arial"/>
                <w:sz w:val="20"/>
                <w:szCs w:val="20"/>
              </w:rPr>
            </w:pPr>
          </w:p>
        </w:tc>
      </w:tr>
      <w:tr w:rsidR="00C63533" w:rsidRPr="00E61ABE" w:rsidTr="00C63533">
        <w:trPr>
          <w:tblCellSpacing w:w="15" w:type="dxa"/>
        </w:trPr>
        <w:tc>
          <w:tcPr>
            <w:tcW w:w="0" w:type="auto"/>
            <w:vAlign w:val="center"/>
            <w:hideMark/>
          </w:tcPr>
          <w:p w:rsidR="00C63533" w:rsidRPr="00E61ABE" w:rsidRDefault="00C25628" w:rsidP="00E61ABE">
            <w:pPr>
              <w:spacing w:after="0"/>
              <w:rPr>
                <w:rFonts w:ascii="Garamond" w:hAnsi="Garamond" w:cs="Arial"/>
                <w:sz w:val="20"/>
                <w:szCs w:val="20"/>
              </w:rPr>
            </w:pPr>
            <w:hyperlink r:id="rId21" w:history="1">
              <w:r w:rsidR="00C63533" w:rsidRPr="00E61ABE">
                <w:rPr>
                  <w:rStyle w:val="Hypertextovodkaz"/>
                  <w:rFonts w:ascii="Garamond" w:hAnsi="Garamond" w:cs="Arial"/>
                  <w:color w:val="auto"/>
                  <w:sz w:val="20"/>
                  <w:szCs w:val="20"/>
                </w:rPr>
                <w:t>Číslo: 6/2010</w:t>
              </w:r>
            </w:hyperlink>
            <w:r w:rsidR="00C63533" w:rsidRPr="00E61ABE">
              <w:rPr>
                <w:rFonts w:ascii="Garamond" w:hAnsi="Garamond" w:cs="Arial"/>
                <w:sz w:val="20"/>
                <w:szCs w:val="20"/>
              </w:rPr>
              <w:t xml:space="preserve"> </w:t>
            </w:r>
            <w:r w:rsidR="00C63533" w:rsidRPr="00E61ABE">
              <w:rPr>
                <w:rFonts w:ascii="Garamond" w:hAnsi="Garamond" w:cs="Arial"/>
                <w:sz w:val="20"/>
                <w:szCs w:val="20"/>
              </w:rPr>
              <w:br/>
              <w:t xml:space="preserve">Ročník: 8 </w:t>
            </w:r>
          </w:p>
        </w:tc>
      </w:tr>
    </w:tbl>
    <w:p w:rsidR="00C63533" w:rsidRPr="00E61ABE" w:rsidRDefault="00C63533" w:rsidP="00E61ABE">
      <w:pPr>
        <w:spacing w:after="0"/>
        <w:rPr>
          <w:rFonts w:ascii="Garamond" w:hAnsi="Garamond" w:cs="Arial CE"/>
          <w:vanish/>
          <w:sz w:val="20"/>
          <w:szCs w:val="20"/>
        </w:rPr>
      </w:pPr>
    </w:p>
    <w:tbl>
      <w:tblPr>
        <w:tblW w:w="0" w:type="auto"/>
        <w:tblCellSpacing w:w="15" w:type="dxa"/>
        <w:tblCellMar>
          <w:top w:w="15" w:type="dxa"/>
          <w:left w:w="15" w:type="dxa"/>
          <w:bottom w:w="15" w:type="dxa"/>
          <w:right w:w="15" w:type="dxa"/>
        </w:tblCellMar>
        <w:tblLook w:val="04A0"/>
      </w:tblPr>
      <w:tblGrid>
        <w:gridCol w:w="9162"/>
      </w:tblGrid>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CE"/>
                <w:sz w:val="20"/>
                <w:szCs w:val="20"/>
              </w:rPr>
            </w:pPr>
            <w:r w:rsidRPr="00E61ABE">
              <w:rPr>
                <w:rFonts w:ascii="Garamond" w:hAnsi="Garamond" w:cs="Arial CE"/>
                <w:sz w:val="20"/>
                <w:szCs w:val="20"/>
              </w:rPr>
              <w:t xml:space="preserve">Rozhodnutí č:2062 </w:t>
            </w:r>
          </w:p>
        </w:tc>
      </w:tr>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CE"/>
                <w:sz w:val="20"/>
                <w:szCs w:val="20"/>
              </w:rPr>
            </w:pPr>
            <w:r w:rsidRPr="00E61ABE">
              <w:rPr>
                <w:rFonts w:ascii="Garamond" w:hAnsi="Garamond" w:cs="Arial CE"/>
                <w:b/>
                <w:bCs/>
                <w:sz w:val="20"/>
                <w:szCs w:val="20"/>
              </w:rPr>
              <w:t>Právo na informace o životním prostředí</w:t>
            </w:r>
          </w:p>
        </w:tc>
      </w:tr>
      <w:tr w:rsidR="00C63533" w:rsidRPr="00E61ABE" w:rsidTr="00C63533">
        <w:trPr>
          <w:tblCellSpacing w:w="15" w:type="dxa"/>
        </w:trPr>
        <w:tc>
          <w:tcPr>
            <w:tcW w:w="0" w:type="auto"/>
            <w:vAlign w:val="center"/>
            <w:hideMark/>
          </w:tcPr>
          <w:p w:rsidR="00C63533" w:rsidRPr="00E61ABE" w:rsidRDefault="00C63533" w:rsidP="00321605">
            <w:pPr>
              <w:spacing w:after="0"/>
              <w:jc w:val="both"/>
              <w:rPr>
                <w:rFonts w:ascii="Garamond" w:hAnsi="Garamond" w:cs="Arial CE"/>
                <w:sz w:val="20"/>
                <w:szCs w:val="20"/>
              </w:rPr>
            </w:pPr>
            <w:r w:rsidRPr="00E61ABE">
              <w:rPr>
                <w:rFonts w:ascii="Garamond" w:hAnsi="Garamond" w:cs="Arial CE"/>
                <w:sz w:val="20"/>
                <w:szCs w:val="20"/>
              </w:rPr>
              <w:lastRenderedPageBreak/>
              <w:t>Není povinností žadatele o informace právně kvalifikovat, podle jaké zákonné normy se informací na povinném subjektu domáhá. Vzhledem k obecné zásadě správního řízení, podle níž rozhodující je obsah samotného podání účastníka řízení, nikoliv jeho (případně nesprávné) označení, nelze z hlediska postupu povinného subjektu při</w:t>
            </w:r>
            <w:r w:rsidR="00321605">
              <w:rPr>
                <w:rFonts w:ascii="Garamond" w:hAnsi="Garamond" w:cs="Arial CE"/>
                <w:sz w:val="20"/>
                <w:szCs w:val="20"/>
              </w:rPr>
              <w:t> </w:t>
            </w:r>
            <w:r w:rsidRPr="00E61ABE">
              <w:rPr>
                <w:rFonts w:ascii="Garamond" w:hAnsi="Garamond" w:cs="Arial CE"/>
                <w:sz w:val="20"/>
                <w:szCs w:val="20"/>
              </w:rPr>
              <w:t>vyřízení předmětné žádosti považovat za závazný odkaz žalobce na zákon č. 123/1998 Sb., o právu na informace o</w:t>
            </w:r>
            <w:r w:rsidR="00321605">
              <w:rPr>
                <w:rFonts w:ascii="Garamond" w:hAnsi="Garamond" w:cs="Arial CE"/>
                <w:sz w:val="20"/>
                <w:szCs w:val="20"/>
              </w:rPr>
              <w:t> </w:t>
            </w:r>
            <w:r w:rsidRPr="00E61ABE">
              <w:rPr>
                <w:rFonts w:ascii="Garamond" w:hAnsi="Garamond" w:cs="Arial CE"/>
                <w:sz w:val="20"/>
                <w:szCs w:val="20"/>
              </w:rPr>
              <w:t xml:space="preserve">životním prostředí, obsažený v označení jeho žádosti. I přes tento odkaz je úkolem žalovaného posoudit, o jaké informace se ve skutečnosti jedná a podle kterého právního předpisu má při jejich poskytnutí, </w:t>
            </w:r>
            <w:proofErr w:type="spellStart"/>
            <w:r w:rsidRPr="00E61ABE">
              <w:rPr>
                <w:rFonts w:ascii="Garamond" w:hAnsi="Garamond" w:cs="Arial CE"/>
                <w:sz w:val="20"/>
                <w:szCs w:val="20"/>
              </w:rPr>
              <w:t>event</w:t>
            </w:r>
            <w:proofErr w:type="spellEnd"/>
            <w:r w:rsidRPr="00E61ABE">
              <w:rPr>
                <w:rFonts w:ascii="Garamond" w:hAnsi="Garamond" w:cs="Arial CE"/>
                <w:sz w:val="20"/>
                <w:szCs w:val="20"/>
              </w:rPr>
              <w:t>. odepření jejich zpřístupnění, postupovat. Dospěje-li povinný subjekt (ministerstvo) při takovém posouzení k závěru, že žádané informace nejsou informacemi o stavu životního prostředí a přírodních zdrojů ve smyslu § 2 písm. a) zákona č.</w:t>
            </w:r>
            <w:r w:rsidR="00321605">
              <w:rPr>
                <w:rFonts w:ascii="Garamond" w:hAnsi="Garamond" w:cs="Arial CE"/>
                <w:sz w:val="20"/>
                <w:szCs w:val="20"/>
              </w:rPr>
              <w:t> </w:t>
            </w:r>
            <w:r w:rsidRPr="00E61ABE">
              <w:rPr>
                <w:rFonts w:ascii="Garamond" w:hAnsi="Garamond" w:cs="Arial CE"/>
                <w:sz w:val="20"/>
                <w:szCs w:val="20"/>
              </w:rPr>
              <w:t>123/1998 Sb., je namístě, aby žádost posoudil a rozhodl o ní na základě obecné právní úpravy týkající se práva na</w:t>
            </w:r>
            <w:r w:rsidR="00321605">
              <w:rPr>
                <w:rFonts w:ascii="Garamond" w:hAnsi="Garamond" w:cs="Arial CE"/>
                <w:sz w:val="20"/>
                <w:szCs w:val="20"/>
              </w:rPr>
              <w:t> </w:t>
            </w:r>
            <w:r w:rsidRPr="00E61ABE">
              <w:rPr>
                <w:rFonts w:ascii="Garamond" w:hAnsi="Garamond" w:cs="Arial CE"/>
                <w:sz w:val="20"/>
                <w:szCs w:val="20"/>
              </w:rPr>
              <w:t>svobodný přístup k informacím, jež je obsažena v zákoně č. 106/1999 Sb., o svobodném přístupu k informacím.</w:t>
            </w:r>
          </w:p>
        </w:tc>
      </w:tr>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CE"/>
                <w:sz w:val="20"/>
                <w:szCs w:val="20"/>
              </w:rPr>
            </w:pPr>
            <w:r w:rsidRPr="00E61ABE">
              <w:rPr>
                <w:rFonts w:ascii="Garamond" w:hAnsi="Garamond" w:cs="Arial CE"/>
                <w:sz w:val="20"/>
                <w:szCs w:val="20"/>
              </w:rPr>
              <w:br/>
              <w:t xml:space="preserve">(Podle rozsudku Městského soudu v Praze ze dne </w:t>
            </w:r>
            <w:proofErr w:type="gramStart"/>
            <w:r w:rsidRPr="00E61ABE">
              <w:rPr>
                <w:rFonts w:ascii="Garamond" w:hAnsi="Garamond" w:cs="Arial CE"/>
                <w:sz w:val="20"/>
                <w:szCs w:val="20"/>
              </w:rPr>
              <w:t>27.04.2007</w:t>
            </w:r>
            <w:proofErr w:type="gramEnd"/>
            <w:r w:rsidRPr="00E61ABE">
              <w:rPr>
                <w:rFonts w:ascii="Garamond" w:hAnsi="Garamond" w:cs="Arial CE"/>
                <w:sz w:val="20"/>
                <w:szCs w:val="20"/>
              </w:rPr>
              <w:t xml:space="preserve">, </w:t>
            </w:r>
            <w:proofErr w:type="spellStart"/>
            <w:r w:rsidRPr="00E61ABE">
              <w:rPr>
                <w:rFonts w:ascii="Garamond" w:hAnsi="Garamond" w:cs="Arial CE"/>
                <w:sz w:val="20"/>
                <w:szCs w:val="20"/>
              </w:rPr>
              <w:t>čj</w:t>
            </w:r>
            <w:proofErr w:type="spellEnd"/>
            <w:r w:rsidRPr="00E61ABE">
              <w:rPr>
                <w:rFonts w:ascii="Garamond" w:hAnsi="Garamond" w:cs="Arial CE"/>
                <w:sz w:val="20"/>
                <w:szCs w:val="20"/>
              </w:rPr>
              <w:t xml:space="preserve">. 9 Ca 270/2004-39) </w:t>
            </w:r>
          </w:p>
        </w:tc>
      </w:tr>
    </w:tbl>
    <w:p w:rsidR="00C63533" w:rsidRPr="00E61ABE" w:rsidRDefault="00C63533"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47"/>
      </w:tblGrid>
      <w:tr w:rsidR="00C63533" w:rsidRPr="00E61ABE" w:rsidTr="00C63533">
        <w:trPr>
          <w:tblCellSpacing w:w="15" w:type="dxa"/>
        </w:trPr>
        <w:tc>
          <w:tcPr>
            <w:tcW w:w="0" w:type="auto"/>
            <w:vAlign w:val="center"/>
            <w:hideMark/>
          </w:tcPr>
          <w:p w:rsidR="00C63533" w:rsidRPr="00E61ABE" w:rsidRDefault="00C25628" w:rsidP="00E61ABE">
            <w:pPr>
              <w:spacing w:after="0"/>
              <w:rPr>
                <w:rFonts w:ascii="Garamond" w:hAnsi="Garamond" w:cs="Arial CE"/>
                <w:sz w:val="20"/>
                <w:szCs w:val="20"/>
              </w:rPr>
            </w:pPr>
            <w:hyperlink r:id="rId22" w:history="1">
              <w:r w:rsidR="00C63533" w:rsidRPr="00E61ABE">
                <w:rPr>
                  <w:rStyle w:val="Hypertextovodkaz"/>
                  <w:rFonts w:ascii="Garamond" w:hAnsi="Garamond" w:cs="Arial CE"/>
                  <w:color w:val="auto"/>
                  <w:sz w:val="20"/>
                  <w:szCs w:val="20"/>
                </w:rPr>
                <w:t>Číslo: 4/2010</w:t>
              </w:r>
            </w:hyperlink>
            <w:r w:rsidR="00C63533" w:rsidRPr="00E61ABE">
              <w:rPr>
                <w:rFonts w:ascii="Garamond" w:hAnsi="Garamond" w:cs="Arial CE"/>
                <w:sz w:val="20"/>
                <w:szCs w:val="20"/>
              </w:rPr>
              <w:t xml:space="preserve"> </w:t>
            </w:r>
            <w:r w:rsidR="00C63533" w:rsidRPr="00E61ABE">
              <w:rPr>
                <w:rFonts w:ascii="Garamond" w:hAnsi="Garamond" w:cs="Arial CE"/>
                <w:sz w:val="20"/>
                <w:szCs w:val="20"/>
              </w:rPr>
              <w:br/>
              <w:t xml:space="preserve">Ročník: 8 </w:t>
            </w:r>
          </w:p>
        </w:tc>
      </w:tr>
    </w:tbl>
    <w:p w:rsidR="00C63533" w:rsidRPr="00E61ABE" w:rsidRDefault="00C63533" w:rsidP="00E61ABE">
      <w:pPr>
        <w:spacing w:after="0"/>
        <w:rPr>
          <w:rFonts w:ascii="Garamond" w:hAnsi="Garamond" w:cs="Arial CE"/>
          <w:vanish/>
          <w:sz w:val="20"/>
          <w:szCs w:val="20"/>
        </w:rPr>
      </w:pPr>
    </w:p>
    <w:tbl>
      <w:tblPr>
        <w:tblW w:w="0" w:type="auto"/>
        <w:tblCellSpacing w:w="15" w:type="dxa"/>
        <w:tblCellMar>
          <w:top w:w="15" w:type="dxa"/>
          <w:left w:w="15" w:type="dxa"/>
          <w:bottom w:w="15" w:type="dxa"/>
          <w:right w:w="15" w:type="dxa"/>
        </w:tblCellMar>
        <w:tblLook w:val="04A0"/>
      </w:tblPr>
      <w:tblGrid>
        <w:gridCol w:w="9162"/>
      </w:tblGrid>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CE"/>
                <w:sz w:val="20"/>
                <w:szCs w:val="20"/>
              </w:rPr>
            </w:pPr>
            <w:r w:rsidRPr="00E61ABE">
              <w:rPr>
                <w:rFonts w:ascii="Garamond" w:hAnsi="Garamond" w:cs="Arial CE"/>
                <w:sz w:val="20"/>
                <w:szCs w:val="20"/>
              </w:rPr>
              <w:t xml:space="preserve">Rozhodnutí č:2030 </w:t>
            </w:r>
          </w:p>
        </w:tc>
      </w:tr>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CE"/>
                <w:sz w:val="20"/>
                <w:szCs w:val="20"/>
              </w:rPr>
            </w:pPr>
            <w:r w:rsidRPr="00E61ABE">
              <w:rPr>
                <w:rFonts w:ascii="Garamond" w:hAnsi="Garamond" w:cs="Arial CE"/>
                <w:b/>
                <w:bCs/>
                <w:sz w:val="20"/>
                <w:szCs w:val="20"/>
              </w:rPr>
              <w:t>Svobodný přístup k informacím: členství soudců v KSČ</w:t>
            </w:r>
          </w:p>
        </w:tc>
      </w:tr>
      <w:tr w:rsidR="00C63533" w:rsidRPr="00E61ABE" w:rsidTr="00C63533">
        <w:trPr>
          <w:tblCellSpacing w:w="15" w:type="dxa"/>
        </w:trPr>
        <w:tc>
          <w:tcPr>
            <w:tcW w:w="0" w:type="auto"/>
            <w:vAlign w:val="center"/>
            <w:hideMark/>
          </w:tcPr>
          <w:p w:rsidR="00C63533" w:rsidRPr="00E61ABE" w:rsidRDefault="00C63533" w:rsidP="00321605">
            <w:pPr>
              <w:spacing w:after="0"/>
              <w:jc w:val="both"/>
              <w:rPr>
                <w:rFonts w:ascii="Garamond" w:hAnsi="Garamond" w:cs="Arial CE"/>
                <w:sz w:val="20"/>
                <w:szCs w:val="20"/>
              </w:rPr>
            </w:pPr>
            <w:r w:rsidRPr="00E61ABE">
              <w:rPr>
                <w:rFonts w:ascii="Garamond" w:hAnsi="Garamond" w:cs="Arial CE"/>
                <w:sz w:val="20"/>
                <w:szCs w:val="20"/>
              </w:rPr>
              <w:t>Žádost o poskytnutí seznamu všech soudců jmenovitého soudu (zde Vrchního soudu v Olomouci), kteří byli ke dni 17. 11. 1989 členy nebo kandidáty Komunistické strany Československa, bez přímého vztahu ke konkrétnímu rozhodování toho kterého soudce, představuje žádost o sdělení citlivých údajů ve smyslu § 4 písm. b) zákona č.</w:t>
            </w:r>
            <w:r w:rsidR="00321605">
              <w:rPr>
                <w:rFonts w:ascii="Garamond" w:hAnsi="Garamond" w:cs="Arial CE"/>
                <w:sz w:val="20"/>
                <w:szCs w:val="20"/>
              </w:rPr>
              <w:t> </w:t>
            </w:r>
            <w:r w:rsidRPr="00E61ABE">
              <w:rPr>
                <w:rFonts w:ascii="Garamond" w:hAnsi="Garamond" w:cs="Arial CE"/>
                <w:sz w:val="20"/>
                <w:szCs w:val="20"/>
              </w:rPr>
              <w:t>101/2000 Sb., o ochraně osobních údajů, jejichž poskytování limituje § 8a zákona č. 106/1999 Sb., o svobodném přístupu k informacím. Obecně je třeba i tady respektovat soukromí fyzických osob, a průlom jeho ochrany může přicházet v úvahu jen v jednotlivých konkrétně odůvodněných případech.</w:t>
            </w:r>
          </w:p>
        </w:tc>
      </w:tr>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CE"/>
                <w:sz w:val="20"/>
                <w:szCs w:val="20"/>
              </w:rPr>
            </w:pPr>
            <w:r w:rsidRPr="00E61ABE">
              <w:rPr>
                <w:rFonts w:ascii="Garamond" w:hAnsi="Garamond" w:cs="Arial CE"/>
                <w:sz w:val="20"/>
                <w:szCs w:val="20"/>
              </w:rPr>
              <w:br/>
              <w:t xml:space="preserve">(Podle rozsudku Nejvyššího správního soudu ze dne </w:t>
            </w:r>
            <w:proofErr w:type="gramStart"/>
            <w:r w:rsidRPr="00E61ABE">
              <w:rPr>
                <w:rFonts w:ascii="Garamond" w:hAnsi="Garamond" w:cs="Arial CE"/>
                <w:sz w:val="20"/>
                <w:szCs w:val="20"/>
              </w:rPr>
              <w:t>06.01.2010</w:t>
            </w:r>
            <w:proofErr w:type="gramEnd"/>
            <w:r w:rsidRPr="00E61ABE">
              <w:rPr>
                <w:rFonts w:ascii="Garamond" w:hAnsi="Garamond" w:cs="Arial CE"/>
                <w:sz w:val="20"/>
                <w:szCs w:val="20"/>
              </w:rPr>
              <w:t xml:space="preserve">, </w:t>
            </w:r>
            <w:proofErr w:type="spellStart"/>
            <w:r w:rsidRPr="00E61ABE">
              <w:rPr>
                <w:rFonts w:ascii="Garamond" w:hAnsi="Garamond" w:cs="Arial CE"/>
                <w:sz w:val="20"/>
                <w:szCs w:val="20"/>
              </w:rPr>
              <w:t>čj</w:t>
            </w:r>
            <w:proofErr w:type="spellEnd"/>
            <w:r w:rsidRPr="00E61ABE">
              <w:rPr>
                <w:rFonts w:ascii="Garamond" w:hAnsi="Garamond" w:cs="Arial CE"/>
                <w:sz w:val="20"/>
                <w:szCs w:val="20"/>
              </w:rPr>
              <w:t xml:space="preserve">. 3 As 10/2009-77) </w:t>
            </w:r>
          </w:p>
        </w:tc>
      </w:tr>
    </w:tbl>
    <w:p w:rsidR="00C63533" w:rsidRPr="00E61ABE" w:rsidRDefault="00C63533"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47"/>
      </w:tblGrid>
      <w:tr w:rsidR="00C63533" w:rsidRPr="00E61ABE" w:rsidTr="00C63533">
        <w:trPr>
          <w:tblCellSpacing w:w="15" w:type="dxa"/>
        </w:trPr>
        <w:tc>
          <w:tcPr>
            <w:tcW w:w="0" w:type="auto"/>
            <w:vAlign w:val="center"/>
            <w:hideMark/>
          </w:tcPr>
          <w:p w:rsidR="00C63533" w:rsidRPr="00E61ABE" w:rsidRDefault="00C25628" w:rsidP="00E61ABE">
            <w:pPr>
              <w:spacing w:after="0"/>
              <w:rPr>
                <w:rFonts w:ascii="Garamond" w:hAnsi="Garamond" w:cs="Arial"/>
                <w:sz w:val="20"/>
                <w:szCs w:val="20"/>
              </w:rPr>
            </w:pPr>
            <w:hyperlink r:id="rId23" w:history="1">
              <w:r w:rsidR="00C63533" w:rsidRPr="00E61ABE">
                <w:rPr>
                  <w:rStyle w:val="Hypertextovodkaz"/>
                  <w:rFonts w:ascii="Garamond" w:hAnsi="Garamond" w:cs="Arial"/>
                  <w:color w:val="auto"/>
                  <w:sz w:val="20"/>
                  <w:szCs w:val="20"/>
                </w:rPr>
                <w:t>Číslo: 4/2010</w:t>
              </w:r>
            </w:hyperlink>
            <w:r w:rsidR="00C63533" w:rsidRPr="00E61ABE">
              <w:rPr>
                <w:rFonts w:ascii="Garamond" w:hAnsi="Garamond" w:cs="Arial"/>
                <w:sz w:val="20"/>
                <w:szCs w:val="20"/>
              </w:rPr>
              <w:t xml:space="preserve"> </w:t>
            </w:r>
            <w:r w:rsidR="00C63533" w:rsidRPr="00E61ABE">
              <w:rPr>
                <w:rFonts w:ascii="Garamond" w:hAnsi="Garamond" w:cs="Arial"/>
                <w:sz w:val="20"/>
                <w:szCs w:val="20"/>
              </w:rPr>
              <w:br/>
              <w:t xml:space="preserve">Ročník: 8 </w:t>
            </w:r>
          </w:p>
        </w:tc>
      </w:tr>
    </w:tbl>
    <w:p w:rsidR="00C63533" w:rsidRPr="00E61ABE" w:rsidRDefault="00C63533" w:rsidP="00E61ABE">
      <w:pPr>
        <w:spacing w:after="0"/>
        <w:rPr>
          <w:rFonts w:ascii="Garamond" w:hAnsi="Garamond" w:cs="Arial"/>
          <w:vanish/>
          <w:sz w:val="20"/>
          <w:szCs w:val="20"/>
        </w:rPr>
      </w:pPr>
    </w:p>
    <w:tbl>
      <w:tblPr>
        <w:tblW w:w="0" w:type="auto"/>
        <w:tblCellSpacing w:w="15" w:type="dxa"/>
        <w:tblCellMar>
          <w:top w:w="15" w:type="dxa"/>
          <w:left w:w="15" w:type="dxa"/>
          <w:bottom w:w="15" w:type="dxa"/>
          <w:right w:w="15" w:type="dxa"/>
        </w:tblCellMar>
        <w:tblLook w:val="04A0"/>
      </w:tblPr>
      <w:tblGrid>
        <w:gridCol w:w="9162"/>
      </w:tblGrid>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w:sz w:val="20"/>
                <w:szCs w:val="20"/>
              </w:rPr>
            </w:pPr>
            <w:r w:rsidRPr="00E61ABE">
              <w:rPr>
                <w:rFonts w:ascii="Garamond" w:hAnsi="Garamond" w:cs="Arial"/>
                <w:sz w:val="20"/>
                <w:szCs w:val="20"/>
              </w:rPr>
              <w:t xml:space="preserve">Rozhodnutí č:2021 </w:t>
            </w:r>
          </w:p>
        </w:tc>
      </w:tr>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w:sz w:val="20"/>
                <w:szCs w:val="20"/>
              </w:rPr>
            </w:pPr>
            <w:r w:rsidRPr="00E61ABE">
              <w:rPr>
                <w:rFonts w:ascii="Garamond" w:hAnsi="Garamond" w:cs="Arial"/>
                <w:b/>
                <w:bCs/>
                <w:sz w:val="20"/>
                <w:szCs w:val="20"/>
              </w:rPr>
              <w:t>Kompetenční spory: příslušnost k rozhodnutí o stížnosti na postup při vyřizování žádosti o informace Správní řízení: okolnosti rozhodné pro určení příslušnosti</w:t>
            </w:r>
          </w:p>
        </w:tc>
      </w:tr>
      <w:tr w:rsidR="00C63533" w:rsidRPr="00E61ABE" w:rsidTr="00C63533">
        <w:trPr>
          <w:tblCellSpacing w:w="15" w:type="dxa"/>
        </w:trPr>
        <w:tc>
          <w:tcPr>
            <w:tcW w:w="0" w:type="auto"/>
            <w:vAlign w:val="center"/>
            <w:hideMark/>
          </w:tcPr>
          <w:p w:rsidR="00C63533" w:rsidRPr="00E61ABE" w:rsidRDefault="00C63533" w:rsidP="00321605">
            <w:pPr>
              <w:spacing w:after="0"/>
              <w:jc w:val="both"/>
              <w:rPr>
                <w:rFonts w:ascii="Garamond" w:hAnsi="Garamond" w:cs="Arial"/>
                <w:sz w:val="20"/>
                <w:szCs w:val="20"/>
              </w:rPr>
            </w:pPr>
            <w:r w:rsidRPr="00E61ABE">
              <w:rPr>
                <w:rFonts w:ascii="Garamond" w:hAnsi="Garamond" w:cs="Arial"/>
                <w:sz w:val="20"/>
                <w:szCs w:val="20"/>
              </w:rPr>
              <w:t xml:space="preserve">I. V důsledku novelizace § 178 správního řádu z roku 2004 zákonem č. 7/2009 Sb. je s účinností od 1. 7. 2009 nutno považovat </w:t>
            </w:r>
            <w:proofErr w:type="spellStart"/>
            <w:r w:rsidRPr="00E61ABE">
              <w:rPr>
                <w:rFonts w:ascii="Garamond" w:hAnsi="Garamond" w:cs="Arial"/>
                <w:sz w:val="20"/>
                <w:szCs w:val="20"/>
              </w:rPr>
              <w:t>judikatorní</w:t>
            </w:r>
            <w:proofErr w:type="spellEnd"/>
            <w:r w:rsidRPr="00E61ABE">
              <w:rPr>
                <w:rFonts w:ascii="Garamond" w:hAnsi="Garamond" w:cs="Arial"/>
                <w:sz w:val="20"/>
                <w:szCs w:val="20"/>
              </w:rPr>
              <w:t xml:space="preserve"> závěry dle rozsudku </w:t>
            </w:r>
            <w:proofErr w:type="spellStart"/>
            <w:r w:rsidRPr="00E61ABE">
              <w:rPr>
                <w:rFonts w:ascii="Garamond" w:hAnsi="Garamond" w:cs="Arial"/>
                <w:sz w:val="20"/>
                <w:szCs w:val="20"/>
              </w:rPr>
              <w:t>čj</w:t>
            </w:r>
            <w:proofErr w:type="spellEnd"/>
            <w:r w:rsidRPr="00E61ABE">
              <w:rPr>
                <w:rFonts w:ascii="Garamond" w:hAnsi="Garamond" w:cs="Arial"/>
                <w:sz w:val="20"/>
                <w:szCs w:val="20"/>
              </w:rPr>
              <w:t xml:space="preserve">. </w:t>
            </w:r>
            <w:proofErr w:type="spellStart"/>
            <w:r w:rsidRPr="00E61ABE">
              <w:rPr>
                <w:rFonts w:ascii="Garamond" w:hAnsi="Garamond" w:cs="Arial"/>
                <w:sz w:val="20"/>
                <w:szCs w:val="20"/>
              </w:rPr>
              <w:t>Komp</w:t>
            </w:r>
            <w:proofErr w:type="spellEnd"/>
            <w:r w:rsidRPr="00E61ABE">
              <w:rPr>
                <w:rFonts w:ascii="Garamond" w:hAnsi="Garamond" w:cs="Arial"/>
                <w:sz w:val="20"/>
                <w:szCs w:val="20"/>
              </w:rPr>
              <w:t xml:space="preserve"> 1/2007-54 ohledně systematiky § 178 správního řádu za</w:t>
            </w:r>
            <w:r w:rsidR="00321605">
              <w:rPr>
                <w:rFonts w:ascii="Garamond" w:hAnsi="Garamond" w:cs="Arial"/>
                <w:sz w:val="20"/>
                <w:szCs w:val="20"/>
              </w:rPr>
              <w:t> </w:t>
            </w:r>
            <w:r w:rsidRPr="00E61ABE">
              <w:rPr>
                <w:rFonts w:ascii="Garamond" w:hAnsi="Garamond" w:cs="Arial"/>
                <w:sz w:val="20"/>
                <w:szCs w:val="20"/>
              </w:rPr>
              <w:t>překonané. Pravidlo obsažené v § 178 odst. 2 správního řádu se počínaje 1. 7. 2009 stalo subsidiárním ve vztahu k</w:t>
            </w:r>
            <w:r w:rsidR="00321605">
              <w:rPr>
                <w:rFonts w:ascii="Garamond" w:hAnsi="Garamond" w:cs="Arial"/>
                <w:sz w:val="20"/>
                <w:szCs w:val="20"/>
              </w:rPr>
              <w:t> </w:t>
            </w:r>
            <w:r w:rsidRPr="00E61ABE">
              <w:rPr>
                <w:rFonts w:ascii="Garamond" w:hAnsi="Garamond" w:cs="Arial"/>
                <w:sz w:val="20"/>
                <w:szCs w:val="20"/>
              </w:rPr>
              <w:t>pravidlu obsaženému v odst. 1 téhož ustanovení.</w:t>
            </w:r>
          </w:p>
        </w:tc>
      </w:tr>
      <w:tr w:rsidR="00C63533" w:rsidRPr="00E61ABE" w:rsidTr="00C63533">
        <w:trPr>
          <w:tblCellSpacing w:w="15" w:type="dxa"/>
        </w:trPr>
        <w:tc>
          <w:tcPr>
            <w:tcW w:w="0" w:type="auto"/>
            <w:vAlign w:val="center"/>
            <w:hideMark/>
          </w:tcPr>
          <w:p w:rsidR="00C63533" w:rsidRPr="00E61ABE" w:rsidRDefault="00C63533" w:rsidP="00321605">
            <w:pPr>
              <w:spacing w:after="0"/>
              <w:jc w:val="both"/>
              <w:rPr>
                <w:rFonts w:ascii="Garamond" w:hAnsi="Garamond" w:cs="Arial"/>
                <w:sz w:val="20"/>
                <w:szCs w:val="20"/>
              </w:rPr>
            </w:pPr>
            <w:r w:rsidRPr="00E61ABE">
              <w:rPr>
                <w:rFonts w:ascii="Garamond" w:hAnsi="Garamond" w:cs="Arial"/>
                <w:sz w:val="20"/>
                <w:szCs w:val="20"/>
              </w:rPr>
              <w:t>II. Okolnostmi rozhodnými pro určení příslušnosti (§ 132 správního řádu z roku 2004) jsou pouze právní skutečnosti, s nimiž právní úprava spojuje důsledky ve vztahu k určení příslušnosti; touto okolností však není právní úprava jako taková. Při absenci přechodných ustanovení přechází ke dni účinnosti změny právní úpravy působnost vést řízení na orgán, který je v dané věci příslušný dle nové právní úpravy. Zásadně proto platí, že pokud pozbude správní orgán v průběhu správního řízení (včetně řízení o opravných prostředcích) svoji věcnou příslušnost v</w:t>
            </w:r>
            <w:r w:rsidR="00321605">
              <w:rPr>
                <w:rFonts w:ascii="Garamond" w:hAnsi="Garamond" w:cs="Arial"/>
                <w:sz w:val="20"/>
                <w:szCs w:val="20"/>
              </w:rPr>
              <w:t> </w:t>
            </w:r>
            <w:r w:rsidRPr="00E61ABE">
              <w:rPr>
                <w:rFonts w:ascii="Garamond" w:hAnsi="Garamond" w:cs="Arial"/>
                <w:sz w:val="20"/>
                <w:szCs w:val="20"/>
              </w:rPr>
              <w:t>důsledku změny právní úpravy a nestanoví-li přechodná ustanovení, že se zahájená řízení dokončí dle dosavadních předpisů, nesmí původně věcně příslušný správní orgán vydat rozhodnutí ve věci.</w:t>
            </w:r>
          </w:p>
        </w:tc>
      </w:tr>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w:sz w:val="20"/>
                <w:szCs w:val="20"/>
              </w:rPr>
            </w:pPr>
            <w:r w:rsidRPr="00E61ABE">
              <w:rPr>
                <w:rFonts w:ascii="Garamond" w:hAnsi="Garamond" w:cs="Arial"/>
                <w:sz w:val="20"/>
                <w:szCs w:val="20"/>
              </w:rPr>
              <w:br/>
              <w:t xml:space="preserve">(Podle rozsudku Nejvyššího správního soudu ze dne </w:t>
            </w:r>
            <w:proofErr w:type="gramStart"/>
            <w:r w:rsidRPr="00E61ABE">
              <w:rPr>
                <w:rFonts w:ascii="Garamond" w:hAnsi="Garamond" w:cs="Arial"/>
                <w:sz w:val="20"/>
                <w:szCs w:val="20"/>
              </w:rPr>
              <w:t>31.12.2009</w:t>
            </w:r>
            <w:proofErr w:type="gramEnd"/>
            <w:r w:rsidRPr="00E61ABE">
              <w:rPr>
                <w:rFonts w:ascii="Garamond" w:hAnsi="Garamond" w:cs="Arial"/>
                <w:sz w:val="20"/>
                <w:szCs w:val="20"/>
              </w:rPr>
              <w:t xml:space="preserve">, </w:t>
            </w:r>
            <w:proofErr w:type="spellStart"/>
            <w:r w:rsidRPr="00E61ABE">
              <w:rPr>
                <w:rFonts w:ascii="Garamond" w:hAnsi="Garamond" w:cs="Arial"/>
                <w:sz w:val="20"/>
                <w:szCs w:val="20"/>
              </w:rPr>
              <w:t>čj</w:t>
            </w:r>
            <w:proofErr w:type="spellEnd"/>
            <w:r w:rsidRPr="00E61ABE">
              <w:rPr>
                <w:rFonts w:ascii="Garamond" w:hAnsi="Garamond" w:cs="Arial"/>
                <w:sz w:val="20"/>
                <w:szCs w:val="20"/>
              </w:rPr>
              <w:t xml:space="preserve">. </w:t>
            </w:r>
            <w:proofErr w:type="spellStart"/>
            <w:r w:rsidRPr="00E61ABE">
              <w:rPr>
                <w:rFonts w:ascii="Garamond" w:hAnsi="Garamond" w:cs="Arial"/>
                <w:sz w:val="20"/>
                <w:szCs w:val="20"/>
              </w:rPr>
              <w:t>Komp</w:t>
            </w:r>
            <w:proofErr w:type="spellEnd"/>
            <w:r w:rsidRPr="00E61ABE">
              <w:rPr>
                <w:rFonts w:ascii="Garamond" w:hAnsi="Garamond" w:cs="Arial"/>
                <w:sz w:val="20"/>
                <w:szCs w:val="20"/>
              </w:rPr>
              <w:t xml:space="preserve"> 6/2009-35) </w:t>
            </w:r>
          </w:p>
        </w:tc>
      </w:tr>
    </w:tbl>
    <w:p w:rsidR="00C63533" w:rsidRPr="00E61ABE" w:rsidRDefault="00C63533"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47"/>
      </w:tblGrid>
      <w:tr w:rsidR="00C63533" w:rsidRPr="00E61ABE" w:rsidTr="00C63533">
        <w:trPr>
          <w:tblCellSpacing w:w="15" w:type="dxa"/>
        </w:trPr>
        <w:tc>
          <w:tcPr>
            <w:tcW w:w="0" w:type="auto"/>
            <w:vAlign w:val="center"/>
            <w:hideMark/>
          </w:tcPr>
          <w:p w:rsidR="00C63533" w:rsidRPr="00E61ABE" w:rsidRDefault="00C25628" w:rsidP="00E61ABE">
            <w:pPr>
              <w:spacing w:after="0"/>
              <w:rPr>
                <w:rFonts w:ascii="Garamond" w:hAnsi="Garamond" w:cs="Arial"/>
                <w:sz w:val="20"/>
                <w:szCs w:val="20"/>
              </w:rPr>
            </w:pPr>
            <w:hyperlink r:id="rId24" w:history="1">
              <w:r w:rsidR="00C63533" w:rsidRPr="00E61ABE">
                <w:rPr>
                  <w:rStyle w:val="Hypertextovodkaz"/>
                  <w:rFonts w:ascii="Garamond" w:hAnsi="Garamond" w:cs="Arial"/>
                  <w:color w:val="auto"/>
                  <w:sz w:val="20"/>
                  <w:szCs w:val="20"/>
                </w:rPr>
                <w:t>Číslo: 1/2010</w:t>
              </w:r>
            </w:hyperlink>
            <w:r w:rsidR="00C63533" w:rsidRPr="00E61ABE">
              <w:rPr>
                <w:rFonts w:ascii="Garamond" w:hAnsi="Garamond" w:cs="Arial"/>
                <w:sz w:val="20"/>
                <w:szCs w:val="20"/>
              </w:rPr>
              <w:t xml:space="preserve"> </w:t>
            </w:r>
            <w:r w:rsidR="00C63533" w:rsidRPr="00E61ABE">
              <w:rPr>
                <w:rFonts w:ascii="Garamond" w:hAnsi="Garamond" w:cs="Arial"/>
                <w:sz w:val="20"/>
                <w:szCs w:val="20"/>
              </w:rPr>
              <w:br/>
              <w:t xml:space="preserve">Ročník: 8 </w:t>
            </w:r>
          </w:p>
        </w:tc>
      </w:tr>
    </w:tbl>
    <w:p w:rsidR="00C63533" w:rsidRPr="00E61ABE" w:rsidRDefault="00C63533" w:rsidP="00E61ABE">
      <w:pPr>
        <w:spacing w:after="0"/>
        <w:rPr>
          <w:rFonts w:ascii="Garamond" w:hAnsi="Garamond" w:cs="Arial"/>
          <w:vanish/>
          <w:sz w:val="20"/>
          <w:szCs w:val="20"/>
        </w:rPr>
      </w:pPr>
    </w:p>
    <w:tbl>
      <w:tblPr>
        <w:tblW w:w="0" w:type="auto"/>
        <w:tblCellSpacing w:w="15" w:type="dxa"/>
        <w:tblCellMar>
          <w:top w:w="15" w:type="dxa"/>
          <w:left w:w="15" w:type="dxa"/>
          <w:bottom w:w="15" w:type="dxa"/>
          <w:right w:w="15" w:type="dxa"/>
        </w:tblCellMar>
        <w:tblLook w:val="04A0"/>
      </w:tblPr>
      <w:tblGrid>
        <w:gridCol w:w="9162"/>
      </w:tblGrid>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w:sz w:val="20"/>
                <w:szCs w:val="20"/>
              </w:rPr>
            </w:pPr>
            <w:r w:rsidRPr="00E61ABE">
              <w:rPr>
                <w:rFonts w:ascii="Garamond" w:hAnsi="Garamond" w:cs="Arial"/>
                <w:sz w:val="20"/>
                <w:szCs w:val="20"/>
              </w:rPr>
              <w:lastRenderedPageBreak/>
              <w:t xml:space="preserve">Rozhodnutí č:1972 </w:t>
            </w:r>
          </w:p>
        </w:tc>
      </w:tr>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w:sz w:val="20"/>
                <w:szCs w:val="20"/>
              </w:rPr>
            </w:pPr>
            <w:r w:rsidRPr="00E61ABE">
              <w:rPr>
                <w:rFonts w:ascii="Garamond" w:hAnsi="Garamond" w:cs="Arial"/>
                <w:b/>
                <w:bCs/>
                <w:sz w:val="20"/>
                <w:szCs w:val="20"/>
              </w:rPr>
              <w:t>Právo na informace: povinnost veřejné instituce poskytovat informace</w:t>
            </w:r>
          </w:p>
        </w:tc>
      </w:tr>
      <w:tr w:rsidR="00C63533" w:rsidRPr="00E61ABE" w:rsidTr="00C63533">
        <w:trPr>
          <w:tblCellSpacing w:w="15" w:type="dxa"/>
        </w:trPr>
        <w:tc>
          <w:tcPr>
            <w:tcW w:w="0" w:type="auto"/>
            <w:vAlign w:val="center"/>
            <w:hideMark/>
          </w:tcPr>
          <w:p w:rsidR="00C63533" w:rsidRPr="00E61ABE" w:rsidRDefault="00C63533" w:rsidP="00837C05">
            <w:pPr>
              <w:spacing w:after="0"/>
              <w:jc w:val="both"/>
              <w:rPr>
                <w:rFonts w:ascii="Garamond" w:hAnsi="Garamond" w:cs="Arial"/>
                <w:sz w:val="20"/>
                <w:szCs w:val="20"/>
              </w:rPr>
            </w:pPr>
            <w:r w:rsidRPr="00E61ABE">
              <w:rPr>
                <w:rFonts w:ascii="Garamond" w:hAnsi="Garamond" w:cs="Arial"/>
                <w:sz w:val="20"/>
                <w:szCs w:val="20"/>
              </w:rPr>
              <w:t>ČEZ, a. s., je ve smyslu § 2 odst. 1 zákona č. 106/1999 Sb., o svobodném přístupu k informacím, veřejnou institucí povinnou poskytovat informace vztahující se k její působnosti.</w:t>
            </w:r>
          </w:p>
        </w:tc>
      </w:tr>
      <w:tr w:rsidR="00C63533" w:rsidRPr="00E61ABE" w:rsidTr="00C63533">
        <w:trPr>
          <w:tblCellSpacing w:w="15" w:type="dxa"/>
        </w:trPr>
        <w:tc>
          <w:tcPr>
            <w:tcW w:w="0" w:type="auto"/>
            <w:vAlign w:val="center"/>
            <w:hideMark/>
          </w:tcPr>
          <w:p w:rsidR="00C63533" w:rsidRPr="00E61ABE" w:rsidRDefault="00C63533" w:rsidP="00E61ABE">
            <w:pPr>
              <w:spacing w:after="0"/>
              <w:rPr>
                <w:rFonts w:ascii="Garamond" w:hAnsi="Garamond" w:cs="Arial"/>
                <w:sz w:val="20"/>
                <w:szCs w:val="20"/>
              </w:rPr>
            </w:pPr>
            <w:r w:rsidRPr="00E61ABE">
              <w:rPr>
                <w:rFonts w:ascii="Garamond" w:hAnsi="Garamond" w:cs="Arial"/>
                <w:sz w:val="20"/>
                <w:szCs w:val="20"/>
              </w:rPr>
              <w:br/>
              <w:t xml:space="preserve">(Podle rozsudku Nejvyššího správního soudu ze dne </w:t>
            </w:r>
            <w:proofErr w:type="gramStart"/>
            <w:r w:rsidRPr="00E61ABE">
              <w:rPr>
                <w:rFonts w:ascii="Garamond" w:hAnsi="Garamond" w:cs="Arial"/>
                <w:sz w:val="20"/>
                <w:szCs w:val="20"/>
              </w:rPr>
              <w:t>06.10.2009</w:t>
            </w:r>
            <w:proofErr w:type="gramEnd"/>
            <w:r w:rsidRPr="00E61ABE">
              <w:rPr>
                <w:rFonts w:ascii="Garamond" w:hAnsi="Garamond" w:cs="Arial"/>
                <w:sz w:val="20"/>
                <w:szCs w:val="20"/>
              </w:rPr>
              <w:t xml:space="preserve">, </w:t>
            </w:r>
            <w:proofErr w:type="spellStart"/>
            <w:r w:rsidRPr="00E61ABE">
              <w:rPr>
                <w:rFonts w:ascii="Garamond" w:hAnsi="Garamond" w:cs="Arial"/>
                <w:sz w:val="20"/>
                <w:szCs w:val="20"/>
              </w:rPr>
              <w:t>čj</w:t>
            </w:r>
            <w:proofErr w:type="spellEnd"/>
            <w:r w:rsidRPr="00E61ABE">
              <w:rPr>
                <w:rFonts w:ascii="Garamond" w:hAnsi="Garamond" w:cs="Arial"/>
                <w:sz w:val="20"/>
                <w:szCs w:val="20"/>
              </w:rPr>
              <w:t xml:space="preserve">. 2 </w:t>
            </w:r>
            <w:proofErr w:type="spellStart"/>
            <w:r w:rsidRPr="00E61ABE">
              <w:rPr>
                <w:rFonts w:ascii="Garamond" w:hAnsi="Garamond" w:cs="Arial"/>
                <w:sz w:val="20"/>
                <w:szCs w:val="20"/>
              </w:rPr>
              <w:t>Ans</w:t>
            </w:r>
            <w:proofErr w:type="spellEnd"/>
            <w:r w:rsidRPr="00E61ABE">
              <w:rPr>
                <w:rFonts w:ascii="Garamond" w:hAnsi="Garamond" w:cs="Arial"/>
                <w:sz w:val="20"/>
                <w:szCs w:val="20"/>
              </w:rPr>
              <w:t xml:space="preserve"> 4/2009-93) </w:t>
            </w:r>
          </w:p>
        </w:tc>
      </w:tr>
    </w:tbl>
    <w:p w:rsidR="00C63533" w:rsidRPr="00E61ABE" w:rsidRDefault="00C63533"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96512F" w:rsidRPr="00E61ABE" w:rsidTr="004916A1">
        <w:trPr>
          <w:tblCellSpacing w:w="15" w:type="dxa"/>
        </w:trPr>
        <w:tc>
          <w:tcPr>
            <w:tcW w:w="0" w:type="auto"/>
            <w:vAlign w:val="center"/>
            <w:hideMark/>
          </w:tcPr>
          <w:p w:rsidR="0096512F" w:rsidRPr="00E61ABE" w:rsidRDefault="00C25628" w:rsidP="00E61ABE">
            <w:pPr>
              <w:spacing w:after="0" w:line="240" w:lineRule="auto"/>
              <w:rPr>
                <w:rFonts w:ascii="Garamond" w:eastAsia="Times New Roman" w:hAnsi="Garamond" w:cs="Arial"/>
                <w:sz w:val="20"/>
                <w:szCs w:val="20"/>
                <w:lang w:eastAsia="cs-CZ"/>
              </w:rPr>
            </w:pPr>
            <w:hyperlink r:id="rId25" w:history="1">
              <w:r w:rsidR="0096512F" w:rsidRPr="00E61ABE">
                <w:rPr>
                  <w:rFonts w:ascii="Garamond" w:eastAsia="Times New Roman" w:hAnsi="Garamond" w:cs="Arial"/>
                  <w:sz w:val="20"/>
                  <w:szCs w:val="20"/>
                  <w:u w:val="single"/>
                  <w:lang w:eastAsia="cs-CZ"/>
                </w:rPr>
                <w:t>Číslo: 8/2009</w:t>
              </w:r>
            </w:hyperlink>
            <w:r w:rsidR="0096512F" w:rsidRPr="00E61ABE">
              <w:rPr>
                <w:rFonts w:ascii="Garamond" w:eastAsia="Times New Roman" w:hAnsi="Garamond" w:cs="Arial"/>
                <w:sz w:val="20"/>
                <w:szCs w:val="20"/>
                <w:lang w:eastAsia="cs-CZ"/>
              </w:rPr>
              <w:t> </w:t>
            </w:r>
            <w:r w:rsidR="0096512F" w:rsidRPr="00E61ABE">
              <w:rPr>
                <w:rFonts w:ascii="Garamond" w:eastAsia="Times New Roman" w:hAnsi="Garamond" w:cs="Arial"/>
                <w:sz w:val="20"/>
                <w:szCs w:val="20"/>
                <w:lang w:eastAsia="cs-CZ"/>
              </w:rPr>
              <w:br/>
              <w:t>Ročník: 7</w:t>
            </w:r>
          </w:p>
        </w:tc>
      </w:tr>
    </w:tbl>
    <w:p w:rsidR="0096512F" w:rsidRPr="00E61ABE" w:rsidRDefault="0096512F"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96512F" w:rsidRPr="00E61ABE" w:rsidTr="004916A1">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č:1880</w:t>
            </w:r>
          </w:p>
        </w:tc>
      </w:tr>
      <w:tr w:rsidR="0096512F" w:rsidRPr="00E61ABE" w:rsidTr="004916A1">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k pojmu „rozhodovací činnost soudů“</w:t>
            </w:r>
          </w:p>
        </w:tc>
      </w:tr>
      <w:tr w:rsidR="0096512F" w:rsidRPr="00E61ABE" w:rsidTr="004916A1">
        <w:trPr>
          <w:tblCellSpacing w:w="15" w:type="dxa"/>
        </w:trPr>
        <w:tc>
          <w:tcPr>
            <w:tcW w:w="0" w:type="auto"/>
            <w:vAlign w:val="center"/>
            <w:hideMark/>
          </w:tcPr>
          <w:p w:rsidR="0096512F" w:rsidRPr="00E61ABE" w:rsidRDefault="0096512F"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Pod pojem „rozhodovací činnost soudů“ ve smyslu § 11 odst. 4 písm. b) zákona č. 106/1999 Sb., o svobodném přístupu k informacím, ve znění účinném od 23. 3. 2006, nutno podřadit nejen činnost soudů, jež vede k rozhodnutí věci (např. shromažďování informací a důkazů, koncepty rozhodnutí apod.), ale i nepravomocné a pravomocné rozsudky, které jsou výstupem vlastní rozhodovací činnosti soudů v užším slova smyslu a přímo ze zákona její nedílnou součástí, jež nese nutně informace o této činnosti v konkrétní věci.</w:t>
            </w:r>
          </w:p>
        </w:tc>
      </w:tr>
      <w:tr w:rsidR="0096512F" w:rsidRPr="00E61ABE" w:rsidTr="004916A1">
        <w:trPr>
          <w:tblCellSpacing w:w="15" w:type="dxa"/>
        </w:trPr>
        <w:tc>
          <w:tcPr>
            <w:tcW w:w="0" w:type="auto"/>
            <w:vAlign w:val="center"/>
            <w:hideMark/>
          </w:tcPr>
          <w:p w:rsidR="0096512F" w:rsidRPr="00E61ABE" w:rsidRDefault="0096512F" w:rsidP="003216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Ustanovení § 11 odst. 4 písm. b) zákona č. 106/1999 Sb., o svobodném přístupu k informacím, brání povinným subjektům v poskytování jakýchkoliv informací o rozhodovací činnosti soudů s jedinou výjimkou, kterou je</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poskytnutí informací v podobě pravomocných rozsudků.</w:t>
            </w:r>
          </w:p>
        </w:tc>
      </w:tr>
      <w:tr w:rsidR="0096512F" w:rsidRPr="00E61ABE" w:rsidTr="004916A1">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w:t>
            </w:r>
            <w:proofErr w:type="gramStart"/>
            <w:r w:rsidRPr="00E61ABE">
              <w:rPr>
                <w:rFonts w:ascii="Garamond" w:eastAsia="Times New Roman" w:hAnsi="Garamond" w:cs="Arial"/>
                <w:sz w:val="20"/>
                <w:szCs w:val="20"/>
                <w:lang w:eastAsia="cs-CZ"/>
              </w:rPr>
              <w:t>29.04.2009</w:t>
            </w:r>
            <w:proofErr w:type="gramEnd"/>
            <w:r w:rsidRPr="00E61ABE">
              <w:rPr>
                <w:rFonts w:ascii="Garamond" w:eastAsia="Times New Roman" w:hAnsi="Garamond" w:cs="Arial"/>
                <w:sz w:val="20"/>
                <w:szCs w:val="20"/>
                <w:lang w:eastAsia="cs-CZ"/>
              </w:rPr>
              <w:t xml:space="preserve">,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8 As 50/2008-75)</w:t>
            </w:r>
          </w:p>
        </w:tc>
      </w:tr>
    </w:tbl>
    <w:p w:rsidR="0096512F" w:rsidRPr="00E61ABE" w:rsidRDefault="0096512F"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96512F" w:rsidRPr="00E61ABE" w:rsidTr="0096512F">
        <w:trPr>
          <w:tblCellSpacing w:w="15" w:type="dxa"/>
        </w:trPr>
        <w:tc>
          <w:tcPr>
            <w:tcW w:w="0" w:type="auto"/>
            <w:vAlign w:val="center"/>
            <w:hideMark/>
          </w:tcPr>
          <w:p w:rsidR="0096512F" w:rsidRPr="00E61ABE" w:rsidRDefault="00C25628" w:rsidP="00E61ABE">
            <w:pPr>
              <w:spacing w:after="0" w:line="240" w:lineRule="auto"/>
              <w:rPr>
                <w:rFonts w:ascii="Garamond" w:eastAsia="Times New Roman" w:hAnsi="Garamond" w:cs="Arial"/>
                <w:sz w:val="20"/>
                <w:szCs w:val="20"/>
                <w:lang w:eastAsia="cs-CZ"/>
              </w:rPr>
            </w:pPr>
            <w:hyperlink r:id="rId26" w:history="1">
              <w:r w:rsidR="0096512F" w:rsidRPr="00E61ABE">
                <w:rPr>
                  <w:rFonts w:ascii="Garamond" w:eastAsia="Times New Roman" w:hAnsi="Garamond" w:cs="Arial"/>
                  <w:sz w:val="20"/>
                  <w:szCs w:val="20"/>
                  <w:u w:val="single"/>
                  <w:lang w:eastAsia="cs-CZ"/>
                </w:rPr>
                <w:t>Číslo: 8/2009</w:t>
              </w:r>
            </w:hyperlink>
            <w:r w:rsidR="0096512F" w:rsidRPr="00E61ABE">
              <w:rPr>
                <w:rFonts w:ascii="Garamond" w:eastAsia="Times New Roman" w:hAnsi="Garamond" w:cs="Arial"/>
                <w:sz w:val="20"/>
                <w:szCs w:val="20"/>
                <w:lang w:eastAsia="cs-CZ"/>
              </w:rPr>
              <w:t> </w:t>
            </w:r>
            <w:r w:rsidR="0096512F" w:rsidRPr="00E61ABE">
              <w:rPr>
                <w:rFonts w:ascii="Garamond" w:eastAsia="Times New Roman" w:hAnsi="Garamond" w:cs="Arial"/>
                <w:sz w:val="20"/>
                <w:szCs w:val="20"/>
                <w:lang w:eastAsia="cs-CZ"/>
              </w:rPr>
              <w:br/>
              <w:t>Ročník: 7</w:t>
            </w:r>
          </w:p>
        </w:tc>
      </w:tr>
    </w:tbl>
    <w:p w:rsidR="0096512F" w:rsidRPr="00E61ABE" w:rsidRDefault="0096512F"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96512F" w:rsidRPr="00E61ABE" w:rsidTr="0096512F">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č:1879</w:t>
            </w:r>
          </w:p>
        </w:tc>
      </w:tr>
      <w:tr w:rsidR="0096512F" w:rsidRPr="00E61ABE" w:rsidTr="0096512F">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poskytování informací ve lhůtě</w:t>
            </w:r>
          </w:p>
        </w:tc>
      </w:tr>
      <w:tr w:rsidR="0096512F" w:rsidRPr="00E61ABE" w:rsidTr="0096512F">
        <w:trPr>
          <w:tblCellSpacing w:w="15" w:type="dxa"/>
        </w:trPr>
        <w:tc>
          <w:tcPr>
            <w:tcW w:w="0" w:type="auto"/>
            <w:vAlign w:val="center"/>
            <w:hideMark/>
          </w:tcPr>
          <w:p w:rsidR="0096512F" w:rsidRPr="00E61ABE" w:rsidRDefault="0096512F" w:rsidP="003216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Povinný subjekt poskytl včas požadované informace podle § 14 odst. 3 písm. c) zákona č. 106/1999 Sb., o</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svobodném přístupu k informacím, ve znění účinném do 22. 3. 2006, nebo vydal rozhodnutí, kterým žádosti nevyhověl podle § 15 odst. 1 citovaného zákona, pokud příslušné písemnosti určené žadateli předal ve stanovené patnáctidenní lhůtě alespoň k doručení.</w:t>
            </w:r>
          </w:p>
        </w:tc>
      </w:tr>
      <w:tr w:rsidR="0096512F" w:rsidRPr="00E61ABE" w:rsidTr="0096512F">
        <w:trPr>
          <w:tblCellSpacing w:w="15" w:type="dxa"/>
        </w:trPr>
        <w:tc>
          <w:tcPr>
            <w:tcW w:w="0" w:type="auto"/>
            <w:vAlign w:val="center"/>
            <w:hideMark/>
          </w:tcPr>
          <w:p w:rsidR="0096512F" w:rsidRPr="00E61ABE" w:rsidRDefault="0096512F" w:rsidP="003216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Byly-li následně požadované informace či rozhodnutí žadateli doručeny až po uplynutí této lhůty, nenastala v</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důsledku toho právní fikce negativního rozhodnutí podle § 15 odst. 4 zákona č. 106/1999 Sb., o svobodném přístupu k informacím.</w:t>
            </w:r>
          </w:p>
        </w:tc>
      </w:tr>
      <w:tr w:rsidR="0096512F" w:rsidRPr="00E61ABE" w:rsidTr="0096512F">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w:t>
            </w:r>
            <w:proofErr w:type="gramStart"/>
            <w:r w:rsidRPr="00E61ABE">
              <w:rPr>
                <w:rFonts w:ascii="Garamond" w:eastAsia="Times New Roman" w:hAnsi="Garamond" w:cs="Arial"/>
                <w:sz w:val="20"/>
                <w:szCs w:val="20"/>
                <w:lang w:eastAsia="cs-CZ"/>
              </w:rPr>
              <w:t>28.04.2009</w:t>
            </w:r>
            <w:proofErr w:type="gramEnd"/>
            <w:r w:rsidRPr="00E61ABE">
              <w:rPr>
                <w:rFonts w:ascii="Garamond" w:eastAsia="Times New Roman" w:hAnsi="Garamond" w:cs="Arial"/>
                <w:sz w:val="20"/>
                <w:szCs w:val="20"/>
                <w:lang w:eastAsia="cs-CZ"/>
              </w:rPr>
              <w:t xml:space="preserve">,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4 As 55/2007-84)</w:t>
            </w:r>
          </w:p>
        </w:tc>
      </w:tr>
    </w:tbl>
    <w:p w:rsidR="008E089F" w:rsidRPr="00E61ABE" w:rsidRDefault="008E089F"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96512F" w:rsidRPr="00E61ABE" w:rsidTr="0096512F">
        <w:trPr>
          <w:tblCellSpacing w:w="15" w:type="dxa"/>
        </w:trPr>
        <w:tc>
          <w:tcPr>
            <w:tcW w:w="0" w:type="auto"/>
            <w:vAlign w:val="center"/>
            <w:hideMark/>
          </w:tcPr>
          <w:p w:rsidR="0096512F" w:rsidRPr="00E61ABE" w:rsidRDefault="00C25628" w:rsidP="00E61ABE">
            <w:pPr>
              <w:spacing w:after="0" w:line="240" w:lineRule="auto"/>
              <w:rPr>
                <w:rFonts w:ascii="Garamond" w:eastAsia="Times New Roman" w:hAnsi="Garamond" w:cs="Arial"/>
                <w:sz w:val="20"/>
                <w:szCs w:val="20"/>
                <w:lang w:eastAsia="cs-CZ"/>
              </w:rPr>
            </w:pPr>
            <w:hyperlink r:id="rId27" w:history="1">
              <w:r w:rsidR="0096512F" w:rsidRPr="00E61ABE">
                <w:rPr>
                  <w:rFonts w:ascii="Garamond" w:eastAsia="Times New Roman" w:hAnsi="Garamond" w:cs="Arial"/>
                  <w:sz w:val="20"/>
                  <w:szCs w:val="20"/>
                  <w:u w:val="single"/>
                  <w:lang w:eastAsia="cs-CZ"/>
                </w:rPr>
                <w:t>Číslo: 5/2009</w:t>
              </w:r>
            </w:hyperlink>
            <w:r w:rsidR="0096512F" w:rsidRPr="00E61ABE">
              <w:rPr>
                <w:rFonts w:ascii="Garamond" w:eastAsia="Times New Roman" w:hAnsi="Garamond" w:cs="Arial"/>
                <w:sz w:val="20"/>
                <w:szCs w:val="20"/>
                <w:lang w:eastAsia="cs-CZ"/>
              </w:rPr>
              <w:t> </w:t>
            </w:r>
            <w:r w:rsidR="0096512F" w:rsidRPr="00E61ABE">
              <w:rPr>
                <w:rFonts w:ascii="Garamond" w:eastAsia="Times New Roman" w:hAnsi="Garamond" w:cs="Arial"/>
                <w:sz w:val="20"/>
                <w:szCs w:val="20"/>
                <w:lang w:eastAsia="cs-CZ"/>
              </w:rPr>
              <w:br/>
              <w:t>Ročník: 7</w:t>
            </w:r>
          </w:p>
        </w:tc>
      </w:tr>
    </w:tbl>
    <w:p w:rsidR="0096512F" w:rsidRPr="00E61ABE" w:rsidRDefault="0096512F"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96512F" w:rsidRPr="00E61ABE" w:rsidTr="0096512F">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č:1817</w:t>
            </w:r>
          </w:p>
        </w:tc>
      </w:tr>
      <w:tr w:rsidR="0096512F" w:rsidRPr="00E61ABE" w:rsidTr="0096512F">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odvolací orgán</w:t>
            </w:r>
          </w:p>
        </w:tc>
      </w:tr>
      <w:tr w:rsidR="0096512F" w:rsidRPr="00E61ABE" w:rsidTr="0096512F">
        <w:trPr>
          <w:tblCellSpacing w:w="15" w:type="dxa"/>
        </w:trPr>
        <w:tc>
          <w:tcPr>
            <w:tcW w:w="0" w:type="auto"/>
            <w:vAlign w:val="center"/>
            <w:hideMark/>
          </w:tcPr>
          <w:p w:rsidR="0096512F" w:rsidRPr="00E61ABE" w:rsidRDefault="0096512F"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Odvolacím orgánem je u rozhodnutí okresních soudů o žádosti o poskytnutí informace podle zákona č. 106/1999 Sb., o svobodném přístupu k informacím, Ministerstvo spravedlnosti.</w:t>
            </w:r>
          </w:p>
        </w:tc>
      </w:tr>
      <w:tr w:rsidR="0096512F" w:rsidRPr="00E61ABE" w:rsidTr="0096512F">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w:t>
            </w:r>
            <w:proofErr w:type="gramStart"/>
            <w:r w:rsidRPr="00E61ABE">
              <w:rPr>
                <w:rFonts w:ascii="Garamond" w:eastAsia="Times New Roman" w:hAnsi="Garamond" w:cs="Arial"/>
                <w:sz w:val="20"/>
                <w:szCs w:val="20"/>
                <w:lang w:eastAsia="cs-CZ"/>
              </w:rPr>
              <w:t>07.02.2008</w:t>
            </w:r>
            <w:proofErr w:type="gramEnd"/>
            <w:r w:rsidRPr="00E61ABE">
              <w:rPr>
                <w:rFonts w:ascii="Garamond" w:eastAsia="Times New Roman" w:hAnsi="Garamond" w:cs="Arial"/>
                <w:sz w:val="20"/>
                <w:szCs w:val="20"/>
                <w:lang w:eastAsia="cs-CZ"/>
              </w:rPr>
              <w:t xml:space="preserve">,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xml:space="preserve">. 4 </w:t>
            </w:r>
            <w:proofErr w:type="spellStart"/>
            <w:r w:rsidRPr="00E61ABE">
              <w:rPr>
                <w:rFonts w:ascii="Garamond" w:eastAsia="Times New Roman" w:hAnsi="Garamond" w:cs="Arial"/>
                <w:sz w:val="20"/>
                <w:szCs w:val="20"/>
                <w:lang w:eastAsia="cs-CZ"/>
              </w:rPr>
              <w:t>Ans</w:t>
            </w:r>
            <w:proofErr w:type="spellEnd"/>
            <w:r w:rsidRPr="00E61ABE">
              <w:rPr>
                <w:rFonts w:ascii="Garamond" w:eastAsia="Times New Roman" w:hAnsi="Garamond" w:cs="Arial"/>
                <w:sz w:val="20"/>
                <w:szCs w:val="20"/>
                <w:lang w:eastAsia="cs-CZ"/>
              </w:rPr>
              <w:t xml:space="preserve"> 11/2007-102)</w:t>
            </w:r>
          </w:p>
        </w:tc>
      </w:tr>
    </w:tbl>
    <w:p w:rsidR="0096512F" w:rsidRPr="00E61ABE" w:rsidRDefault="0096512F"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290"/>
      </w:tblGrid>
      <w:tr w:rsidR="0096512F" w:rsidRPr="00E61ABE" w:rsidTr="0096512F">
        <w:trPr>
          <w:tblCellSpacing w:w="15" w:type="dxa"/>
        </w:trPr>
        <w:tc>
          <w:tcPr>
            <w:tcW w:w="0" w:type="auto"/>
            <w:vAlign w:val="center"/>
            <w:hideMark/>
          </w:tcPr>
          <w:p w:rsidR="0096512F" w:rsidRPr="00E61ABE" w:rsidRDefault="00C25628" w:rsidP="00E61ABE">
            <w:pPr>
              <w:spacing w:after="0" w:line="240" w:lineRule="auto"/>
              <w:rPr>
                <w:rFonts w:ascii="Garamond" w:eastAsia="Times New Roman" w:hAnsi="Garamond" w:cs="Arial"/>
                <w:sz w:val="20"/>
                <w:szCs w:val="20"/>
                <w:lang w:eastAsia="cs-CZ"/>
              </w:rPr>
            </w:pPr>
            <w:hyperlink r:id="rId28" w:history="1">
              <w:r w:rsidR="0096512F" w:rsidRPr="00E61ABE">
                <w:rPr>
                  <w:rFonts w:ascii="Garamond" w:eastAsia="Times New Roman" w:hAnsi="Garamond" w:cs="Arial"/>
                  <w:sz w:val="20"/>
                  <w:szCs w:val="20"/>
                  <w:u w:val="single"/>
                  <w:lang w:eastAsia="cs-CZ"/>
                </w:rPr>
                <w:t>Číslo: 10/2008</w:t>
              </w:r>
            </w:hyperlink>
            <w:r w:rsidR="0096512F" w:rsidRPr="00E61ABE">
              <w:rPr>
                <w:rFonts w:ascii="Garamond" w:eastAsia="Times New Roman" w:hAnsi="Garamond" w:cs="Arial"/>
                <w:sz w:val="20"/>
                <w:szCs w:val="20"/>
                <w:lang w:eastAsia="cs-CZ"/>
              </w:rPr>
              <w:t> </w:t>
            </w:r>
            <w:r w:rsidR="0096512F" w:rsidRPr="00E61ABE">
              <w:rPr>
                <w:rFonts w:ascii="Garamond" w:eastAsia="Times New Roman" w:hAnsi="Garamond" w:cs="Arial"/>
                <w:sz w:val="20"/>
                <w:szCs w:val="20"/>
                <w:lang w:eastAsia="cs-CZ"/>
              </w:rPr>
              <w:br/>
              <w:t>Ročník: 6</w:t>
            </w:r>
          </w:p>
        </w:tc>
      </w:tr>
    </w:tbl>
    <w:p w:rsidR="0096512F" w:rsidRPr="00E61ABE" w:rsidRDefault="0096512F"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96512F" w:rsidRPr="00E61ABE" w:rsidTr="0096512F">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č:1688</w:t>
            </w:r>
          </w:p>
        </w:tc>
      </w:tr>
      <w:tr w:rsidR="0096512F" w:rsidRPr="00E61ABE" w:rsidTr="0096512F">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poskytování informací obchodní společností založenou obcí</w:t>
            </w:r>
          </w:p>
        </w:tc>
      </w:tr>
      <w:tr w:rsidR="0096512F" w:rsidRPr="00E61ABE" w:rsidTr="0096512F">
        <w:trPr>
          <w:tblCellSpacing w:w="15" w:type="dxa"/>
        </w:trPr>
        <w:tc>
          <w:tcPr>
            <w:tcW w:w="0" w:type="auto"/>
            <w:vAlign w:val="center"/>
            <w:hideMark/>
          </w:tcPr>
          <w:p w:rsidR="0096512F" w:rsidRPr="00E61ABE" w:rsidRDefault="0096512F"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lastRenderedPageBreak/>
              <w:t>U akciové společnosti založené územním samosprávným celkem, jejíž orgány jsou vytvářeny tímto územním samosprávným celkem jako jediným akcionářem společnosti, který zároveň zákonem stanovenými prostředky vykonává dohled nad činností akciové společnosti plnící veřejný účel (provozování fotbalu v dané obci), převažují znaky svědčící o její veřejné povaze, a jedná se tedy o veřejnou instituci ve smyslu § 2 odst. 1 zákona č. 106/1999 Sb., o svobodném přístupu k informacím.</w:t>
            </w:r>
          </w:p>
        </w:tc>
      </w:tr>
      <w:tr w:rsidR="0096512F" w:rsidRPr="00E61ABE" w:rsidTr="0096512F">
        <w:trPr>
          <w:tblCellSpacing w:w="15" w:type="dxa"/>
        </w:trPr>
        <w:tc>
          <w:tcPr>
            <w:tcW w:w="0" w:type="auto"/>
            <w:vAlign w:val="center"/>
            <w:hideMark/>
          </w:tcPr>
          <w:p w:rsidR="0096512F" w:rsidRPr="00E61ABE" w:rsidRDefault="0096512F"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w:t>
            </w:r>
            <w:proofErr w:type="gramStart"/>
            <w:r w:rsidRPr="00E61ABE">
              <w:rPr>
                <w:rFonts w:ascii="Garamond" w:eastAsia="Times New Roman" w:hAnsi="Garamond" w:cs="Arial"/>
                <w:sz w:val="20"/>
                <w:szCs w:val="20"/>
                <w:lang w:eastAsia="cs-CZ"/>
              </w:rPr>
              <w:t>29.05.2008</w:t>
            </w:r>
            <w:proofErr w:type="gramEnd"/>
            <w:r w:rsidRPr="00E61ABE">
              <w:rPr>
                <w:rFonts w:ascii="Garamond" w:eastAsia="Times New Roman" w:hAnsi="Garamond" w:cs="Arial"/>
                <w:sz w:val="20"/>
                <w:szCs w:val="20"/>
                <w:lang w:eastAsia="cs-CZ"/>
              </w:rPr>
              <w:t xml:space="preserve">,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8 As 57/2006-67)</w:t>
            </w:r>
          </w:p>
        </w:tc>
      </w:tr>
    </w:tbl>
    <w:p w:rsidR="0096512F" w:rsidRPr="00E61ABE" w:rsidRDefault="0096512F"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9F41C2" w:rsidRPr="00E61ABE" w:rsidTr="009F41C2">
        <w:trPr>
          <w:tblCellSpacing w:w="15" w:type="dxa"/>
        </w:trPr>
        <w:tc>
          <w:tcPr>
            <w:tcW w:w="0" w:type="auto"/>
            <w:vAlign w:val="center"/>
            <w:hideMark/>
          </w:tcPr>
          <w:p w:rsidR="009F41C2" w:rsidRPr="00E61ABE" w:rsidRDefault="00C25628" w:rsidP="00E61ABE">
            <w:pPr>
              <w:spacing w:after="0" w:line="240" w:lineRule="auto"/>
              <w:rPr>
                <w:rFonts w:ascii="Garamond" w:eastAsia="Times New Roman" w:hAnsi="Garamond" w:cs="Arial"/>
                <w:sz w:val="20"/>
                <w:szCs w:val="20"/>
                <w:lang w:eastAsia="cs-CZ"/>
              </w:rPr>
            </w:pPr>
            <w:hyperlink r:id="rId29" w:history="1">
              <w:r w:rsidR="009F41C2" w:rsidRPr="00E61ABE">
                <w:rPr>
                  <w:rFonts w:ascii="Garamond" w:eastAsia="Times New Roman" w:hAnsi="Garamond" w:cs="Arial"/>
                  <w:sz w:val="20"/>
                  <w:szCs w:val="20"/>
                  <w:u w:val="single"/>
                  <w:lang w:eastAsia="cs-CZ"/>
                </w:rPr>
                <w:t>Číslo: 8/2008</w:t>
              </w:r>
            </w:hyperlink>
            <w:r w:rsidR="009F41C2" w:rsidRPr="00E61ABE">
              <w:rPr>
                <w:rFonts w:ascii="Garamond" w:eastAsia="Times New Roman" w:hAnsi="Garamond" w:cs="Arial"/>
                <w:sz w:val="20"/>
                <w:szCs w:val="20"/>
                <w:lang w:eastAsia="cs-CZ"/>
              </w:rPr>
              <w:t> </w:t>
            </w:r>
            <w:r w:rsidR="009F41C2" w:rsidRPr="00E61ABE">
              <w:rPr>
                <w:rFonts w:ascii="Garamond" w:eastAsia="Times New Roman" w:hAnsi="Garamond" w:cs="Arial"/>
                <w:sz w:val="20"/>
                <w:szCs w:val="20"/>
                <w:lang w:eastAsia="cs-CZ"/>
              </w:rPr>
              <w:br/>
              <w:t>Ročník: 6</w:t>
            </w:r>
          </w:p>
        </w:tc>
      </w:tr>
    </w:tbl>
    <w:p w:rsidR="009F41C2" w:rsidRPr="00E61ABE" w:rsidRDefault="009F41C2"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9F41C2" w:rsidRPr="00E61ABE" w:rsidTr="009F41C2">
        <w:trPr>
          <w:tblCellSpacing w:w="15" w:type="dxa"/>
        </w:trPr>
        <w:tc>
          <w:tcPr>
            <w:tcW w:w="0" w:type="auto"/>
            <w:vAlign w:val="center"/>
            <w:hideMark/>
          </w:tcPr>
          <w:p w:rsidR="009F41C2" w:rsidRPr="00E61ABE" w:rsidRDefault="009F41C2"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č:1627</w:t>
            </w:r>
          </w:p>
        </w:tc>
      </w:tr>
      <w:tr w:rsidR="009F41C2" w:rsidRPr="00E61ABE" w:rsidTr="009F41C2">
        <w:trPr>
          <w:tblCellSpacing w:w="15" w:type="dxa"/>
        </w:trPr>
        <w:tc>
          <w:tcPr>
            <w:tcW w:w="0" w:type="auto"/>
            <w:vAlign w:val="center"/>
            <w:hideMark/>
          </w:tcPr>
          <w:p w:rsidR="009F41C2" w:rsidRPr="00E61ABE" w:rsidRDefault="009F41C2"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Řízení před soudem: aplikace předchozí soudní judikatury</w:t>
            </w:r>
            <w:r w:rsidRPr="00E61ABE">
              <w:rPr>
                <w:rFonts w:ascii="Garamond" w:eastAsia="Times New Roman" w:hAnsi="Garamond" w:cs="Arial"/>
                <w:b/>
                <w:bCs/>
                <w:sz w:val="20"/>
                <w:szCs w:val="20"/>
                <w:lang w:eastAsia="cs-CZ"/>
              </w:rPr>
              <w:br/>
              <w:t>Právo na informace: odepření poskytnutí informace; k pojmu „informace“</w:t>
            </w:r>
          </w:p>
        </w:tc>
      </w:tr>
      <w:tr w:rsidR="009F41C2" w:rsidRPr="00E61ABE" w:rsidTr="009F41C2">
        <w:trPr>
          <w:tblCellSpacing w:w="15" w:type="dxa"/>
        </w:trPr>
        <w:tc>
          <w:tcPr>
            <w:tcW w:w="0" w:type="auto"/>
            <w:vAlign w:val="center"/>
            <w:hideMark/>
          </w:tcPr>
          <w:p w:rsidR="00837C05" w:rsidRDefault="009F41C2"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Informací podle zákona č. 106/1999 Sb., o svobodném přístupu k informacím, není selektivní sdělení obsahu smlouvy, nýbrž text smlouvy v její celistvosti jako takový. Jestliže žadatel požádal o poskytnutí informace kopií smlouvy, na jejíž obsah se nevztahuje ochrana obchodního tajemství, je povinný subjekt povinen pořídit fotokopii, případně jinak hodnověrným způsobem poskytnout žadateli obsah smlouvy v kompletní podobě. </w:t>
            </w:r>
            <w:r w:rsidRPr="00E61ABE">
              <w:rPr>
                <w:rFonts w:ascii="Garamond" w:eastAsia="Times New Roman" w:hAnsi="Garamond" w:cs="Arial"/>
                <w:sz w:val="20"/>
                <w:szCs w:val="20"/>
                <w:lang w:eastAsia="cs-CZ"/>
              </w:rPr>
              <w:br/>
              <w:t>II. Dotváření práva prostřednictvím soudní judikatury vychází ze skutkového a právního stavu řešené věci. Dojde-li v mezidobí ke změně textu právní normy, jež byla původně soudem aplikována a interpretována, lze předchozí judikaturu použít později pro řešení jiné věci jen tehdy, dopadá-li na takto dotvořený obsah právní normy i nadále. Judikatura není atomizovaný soubor izolovaných vět odůvodnění soudního rozhodnutí bez zřetele na situaci, kterou dané rozhodnutí řešilo.</w:t>
            </w:r>
            <w:r w:rsidR="00837C05">
              <w:rPr>
                <w:rFonts w:ascii="Garamond" w:eastAsia="Times New Roman" w:hAnsi="Garamond" w:cs="Arial"/>
                <w:sz w:val="20"/>
                <w:szCs w:val="20"/>
                <w:lang w:eastAsia="cs-CZ"/>
              </w:rPr>
              <w:t xml:space="preserve"> </w:t>
            </w:r>
          </w:p>
          <w:p w:rsidR="009F41C2" w:rsidRPr="00E61ABE" w:rsidRDefault="009F41C2"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7. 5. 2008,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1 As 17/2008-67)</w:t>
            </w:r>
          </w:p>
        </w:tc>
      </w:tr>
    </w:tbl>
    <w:p w:rsidR="0096512F" w:rsidRPr="00E61ABE" w:rsidRDefault="0096512F"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984709" w:rsidRPr="00E61ABE" w:rsidTr="00984709">
        <w:trPr>
          <w:tblCellSpacing w:w="15" w:type="dxa"/>
        </w:trPr>
        <w:tc>
          <w:tcPr>
            <w:tcW w:w="0" w:type="auto"/>
            <w:vAlign w:val="center"/>
            <w:hideMark/>
          </w:tcPr>
          <w:p w:rsidR="00984709" w:rsidRPr="00E61ABE" w:rsidRDefault="00C25628" w:rsidP="00E61ABE">
            <w:pPr>
              <w:spacing w:after="0" w:line="240" w:lineRule="auto"/>
              <w:rPr>
                <w:rFonts w:ascii="Garamond" w:eastAsia="Times New Roman" w:hAnsi="Garamond" w:cs="Arial"/>
                <w:sz w:val="20"/>
                <w:szCs w:val="20"/>
                <w:lang w:eastAsia="cs-CZ"/>
              </w:rPr>
            </w:pPr>
            <w:hyperlink r:id="rId30" w:history="1">
              <w:r w:rsidR="00984709" w:rsidRPr="00E61ABE">
                <w:rPr>
                  <w:rFonts w:ascii="Garamond" w:eastAsia="Times New Roman" w:hAnsi="Garamond" w:cs="Arial"/>
                  <w:sz w:val="20"/>
                  <w:szCs w:val="20"/>
                  <w:u w:val="single"/>
                  <w:lang w:eastAsia="cs-CZ"/>
                </w:rPr>
                <w:t>Číslo: 6/2008</w:t>
              </w:r>
            </w:hyperlink>
            <w:r w:rsidR="00984709" w:rsidRPr="00E61ABE">
              <w:rPr>
                <w:rFonts w:ascii="Garamond" w:eastAsia="Times New Roman" w:hAnsi="Garamond" w:cs="Arial"/>
                <w:sz w:val="20"/>
                <w:szCs w:val="20"/>
                <w:lang w:eastAsia="cs-CZ"/>
              </w:rPr>
              <w:t> </w:t>
            </w:r>
            <w:r w:rsidR="00984709" w:rsidRPr="00E61ABE">
              <w:rPr>
                <w:rFonts w:ascii="Garamond" w:eastAsia="Times New Roman" w:hAnsi="Garamond" w:cs="Arial"/>
                <w:sz w:val="20"/>
                <w:szCs w:val="20"/>
                <w:lang w:eastAsia="cs-CZ"/>
              </w:rPr>
              <w:br/>
              <w:t>Ročník: 6</w:t>
            </w:r>
          </w:p>
        </w:tc>
      </w:tr>
    </w:tbl>
    <w:p w:rsidR="00984709" w:rsidRPr="00E61ABE" w:rsidRDefault="00984709"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984709" w:rsidRPr="00E61ABE" w:rsidTr="00984709">
        <w:trPr>
          <w:tblCellSpacing w:w="15" w:type="dxa"/>
        </w:trPr>
        <w:tc>
          <w:tcPr>
            <w:tcW w:w="0" w:type="auto"/>
            <w:vAlign w:val="center"/>
            <w:hideMark/>
          </w:tcPr>
          <w:p w:rsidR="00984709" w:rsidRPr="00E61ABE" w:rsidRDefault="0098470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č:1586</w:t>
            </w:r>
          </w:p>
        </w:tc>
      </w:tr>
      <w:tr w:rsidR="00984709" w:rsidRPr="00E61ABE" w:rsidTr="00984709">
        <w:trPr>
          <w:tblCellSpacing w:w="15" w:type="dxa"/>
        </w:trPr>
        <w:tc>
          <w:tcPr>
            <w:tcW w:w="0" w:type="auto"/>
            <w:vAlign w:val="center"/>
            <w:hideMark/>
          </w:tcPr>
          <w:p w:rsidR="00984709" w:rsidRPr="00E61ABE" w:rsidRDefault="0098470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povinný subjekt</w:t>
            </w:r>
          </w:p>
        </w:tc>
      </w:tr>
      <w:tr w:rsidR="00984709" w:rsidRPr="00E61ABE" w:rsidTr="00984709">
        <w:trPr>
          <w:tblCellSpacing w:w="15" w:type="dxa"/>
        </w:trPr>
        <w:tc>
          <w:tcPr>
            <w:tcW w:w="0" w:type="auto"/>
            <w:vAlign w:val="center"/>
            <w:hideMark/>
          </w:tcPr>
          <w:p w:rsidR="00984709" w:rsidRPr="00E61ABE" w:rsidRDefault="00984709" w:rsidP="003216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Veřejný ochránce práv jako specifický kontrolní státní orgán je povinným subjektem podle § 2 odst. 1 zákona č.</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106/1999 Sb., o svobodném přístupu k informacím. Rozhodování o žádostech o poskytnutí informací však není přímo na něm, nýbrž spadá mezi úkoly, které pro veřejného ochránce práv plní jeho kancelář.</w:t>
            </w:r>
            <w:r w:rsidRPr="00E61ABE">
              <w:rPr>
                <w:rFonts w:ascii="Garamond" w:eastAsia="Times New Roman" w:hAnsi="Garamond" w:cs="Arial"/>
                <w:sz w:val="20"/>
                <w:szCs w:val="20"/>
                <w:lang w:eastAsia="cs-CZ"/>
              </w:rPr>
              <w:br/>
            </w:r>
            <w:r w:rsidRPr="00E61ABE">
              <w:rPr>
                <w:rFonts w:ascii="Garamond" w:eastAsia="Times New Roman" w:hAnsi="Garamond" w:cs="Arial"/>
                <w:sz w:val="20"/>
                <w:szCs w:val="20"/>
                <w:lang w:eastAsia="cs-CZ"/>
              </w:rPr>
              <w:br/>
              <w:t xml:space="preserve">(Podle rozsudku Nejvyššího správního soudu ze dne 19. 2. 2008,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2 As 58/2007-52) </w:t>
            </w:r>
          </w:p>
        </w:tc>
      </w:tr>
    </w:tbl>
    <w:p w:rsidR="009F41C2" w:rsidRPr="00E61ABE" w:rsidRDefault="009F41C2"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43CB8" w:rsidRPr="00E61ABE" w:rsidTr="00B43CB8">
        <w:trPr>
          <w:tblCellSpacing w:w="15" w:type="dxa"/>
        </w:trPr>
        <w:tc>
          <w:tcPr>
            <w:tcW w:w="0" w:type="auto"/>
            <w:vAlign w:val="center"/>
            <w:hideMark/>
          </w:tcPr>
          <w:p w:rsidR="00B43CB8" w:rsidRPr="00E61ABE" w:rsidRDefault="00C25628" w:rsidP="00E61ABE">
            <w:pPr>
              <w:spacing w:after="0" w:line="240" w:lineRule="auto"/>
              <w:rPr>
                <w:rFonts w:ascii="Garamond" w:eastAsia="Times New Roman" w:hAnsi="Garamond" w:cs="Arial"/>
                <w:sz w:val="20"/>
                <w:szCs w:val="20"/>
                <w:lang w:eastAsia="cs-CZ"/>
              </w:rPr>
            </w:pPr>
            <w:hyperlink r:id="rId31" w:history="1">
              <w:r w:rsidR="00B43CB8" w:rsidRPr="00E61ABE">
                <w:rPr>
                  <w:rFonts w:ascii="Garamond" w:eastAsia="Times New Roman" w:hAnsi="Garamond" w:cs="Arial"/>
                  <w:sz w:val="20"/>
                  <w:szCs w:val="20"/>
                  <w:u w:val="single"/>
                  <w:lang w:eastAsia="cs-CZ"/>
                </w:rPr>
                <w:t>Číslo: 4/2008</w:t>
              </w:r>
            </w:hyperlink>
            <w:r w:rsidR="00B43CB8" w:rsidRPr="00E61ABE">
              <w:rPr>
                <w:rFonts w:ascii="Garamond" w:eastAsia="Times New Roman" w:hAnsi="Garamond" w:cs="Arial"/>
                <w:sz w:val="20"/>
                <w:szCs w:val="20"/>
                <w:lang w:eastAsia="cs-CZ"/>
              </w:rPr>
              <w:t> </w:t>
            </w:r>
            <w:r w:rsidR="00B43CB8" w:rsidRPr="00E61ABE">
              <w:rPr>
                <w:rFonts w:ascii="Garamond" w:eastAsia="Times New Roman" w:hAnsi="Garamond" w:cs="Arial"/>
                <w:sz w:val="20"/>
                <w:szCs w:val="20"/>
                <w:lang w:eastAsia="cs-CZ"/>
              </w:rPr>
              <w:br/>
              <w:t>Ročník: 6</w:t>
            </w:r>
          </w:p>
        </w:tc>
      </w:tr>
    </w:tbl>
    <w:p w:rsidR="00B43CB8" w:rsidRPr="00E61ABE" w:rsidRDefault="00B43CB8"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č:1532</w:t>
            </w:r>
          </w:p>
        </w:tc>
      </w:tr>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vnitřní pokyny povinného subjektu</w:t>
            </w:r>
          </w:p>
        </w:tc>
      </w:tr>
      <w:tr w:rsidR="00B43CB8" w:rsidRPr="00E61ABE" w:rsidTr="00B43CB8">
        <w:trPr>
          <w:tblCellSpacing w:w="15" w:type="dxa"/>
        </w:trPr>
        <w:tc>
          <w:tcPr>
            <w:tcW w:w="0" w:type="auto"/>
            <w:vAlign w:val="center"/>
            <w:hideMark/>
          </w:tcPr>
          <w:p w:rsidR="00837C05"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 xml:space="preserve">I. Za interní pokyn ve smyslu § 11 odst. 1 písm. a) zákona č. 106/1999 Sb., o svobodném přístupu k informacím, nelze </w:t>
            </w:r>
            <w:proofErr w:type="spellStart"/>
            <w:r w:rsidRPr="00E61ABE">
              <w:rPr>
                <w:rFonts w:ascii="Garamond" w:eastAsia="Times New Roman" w:hAnsi="Garamond" w:cs="Arial"/>
                <w:sz w:val="20"/>
                <w:szCs w:val="20"/>
                <w:lang w:eastAsia="cs-CZ"/>
              </w:rPr>
              <w:t>stricto</w:t>
            </w:r>
            <w:proofErr w:type="spellEnd"/>
            <w:r w:rsidRPr="00E61ABE">
              <w:rPr>
                <w:rFonts w:ascii="Garamond" w:eastAsia="Times New Roman" w:hAnsi="Garamond" w:cs="Arial"/>
                <w:sz w:val="20"/>
                <w:szCs w:val="20"/>
                <w:lang w:eastAsia="cs-CZ"/>
              </w:rPr>
              <w:t xml:space="preserve"> </w:t>
            </w:r>
            <w:proofErr w:type="spellStart"/>
            <w:r w:rsidRPr="00E61ABE">
              <w:rPr>
                <w:rFonts w:ascii="Garamond" w:eastAsia="Times New Roman" w:hAnsi="Garamond" w:cs="Arial"/>
                <w:sz w:val="20"/>
                <w:szCs w:val="20"/>
                <w:lang w:eastAsia="cs-CZ"/>
              </w:rPr>
              <w:t>sensu</w:t>
            </w:r>
            <w:proofErr w:type="spellEnd"/>
            <w:r w:rsidRPr="00E61ABE">
              <w:rPr>
                <w:rFonts w:ascii="Garamond" w:eastAsia="Times New Roman" w:hAnsi="Garamond" w:cs="Arial"/>
                <w:sz w:val="20"/>
                <w:szCs w:val="20"/>
                <w:lang w:eastAsia="cs-CZ"/>
              </w:rPr>
              <w:t xml:space="preserve"> považovat každý akt, který správní orgán takto označí. Rozhodný je vždy obsah konkrétního pokynu nebo jiného aktu.</w:t>
            </w:r>
          </w:p>
          <w:p w:rsidR="00B43CB8" w:rsidRPr="00E61ABE" w:rsidRDefault="00B43CB8" w:rsidP="003216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Týkají-li se Pokyny řady „D“, resp. „DS“, vydávané Ministerstvem financí výkonu veřejné správy, tedy činnosti správce daně, jakožto orgánu veřejné moci, navenek, ve vztahu k veřejnosti a upravují-li aplikační postupy stran jednotlivých ustanovení daňových zákonů, nelze je, jakkoli jsou takto označeny, považovat za informace vyloučené z</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práva na jejich poskytnutí těm, jichž se postupy v nich upravené bezprostředně týkají, tj. daňovým subjektům.</w:t>
            </w:r>
            <w:r w:rsidRPr="00E61ABE">
              <w:rPr>
                <w:rFonts w:ascii="Garamond" w:eastAsia="Times New Roman" w:hAnsi="Garamond" w:cs="Arial"/>
                <w:sz w:val="20"/>
                <w:szCs w:val="20"/>
                <w:lang w:eastAsia="cs-CZ"/>
              </w:rPr>
              <w:br/>
            </w:r>
            <w:r w:rsidRPr="00E61ABE">
              <w:rPr>
                <w:rFonts w:ascii="Garamond" w:eastAsia="Times New Roman" w:hAnsi="Garamond" w:cs="Arial"/>
                <w:sz w:val="20"/>
                <w:szCs w:val="20"/>
                <w:lang w:eastAsia="cs-CZ"/>
              </w:rPr>
              <w:br/>
              <w:t xml:space="preserve">(Podle rozsudku Nejvyššího správního soudu ze dne 17. 1. 2008,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5 As 28/2007-89)</w:t>
            </w:r>
          </w:p>
        </w:tc>
      </w:tr>
    </w:tbl>
    <w:p w:rsidR="00984709" w:rsidRPr="00E61ABE" w:rsidRDefault="00984709"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43CB8" w:rsidRPr="00E61ABE" w:rsidTr="00B43CB8">
        <w:trPr>
          <w:tblCellSpacing w:w="15" w:type="dxa"/>
        </w:trPr>
        <w:tc>
          <w:tcPr>
            <w:tcW w:w="0" w:type="auto"/>
            <w:vAlign w:val="center"/>
            <w:hideMark/>
          </w:tcPr>
          <w:p w:rsidR="00B43CB8" w:rsidRPr="00E61ABE" w:rsidRDefault="00C25628" w:rsidP="00E61ABE">
            <w:pPr>
              <w:spacing w:after="0" w:line="240" w:lineRule="auto"/>
              <w:rPr>
                <w:rFonts w:ascii="Garamond" w:eastAsia="Times New Roman" w:hAnsi="Garamond" w:cs="Arial"/>
                <w:sz w:val="20"/>
                <w:szCs w:val="20"/>
                <w:highlight w:val="yellow"/>
                <w:lang w:eastAsia="cs-CZ"/>
              </w:rPr>
            </w:pPr>
            <w:hyperlink r:id="rId32" w:history="1">
              <w:r w:rsidR="00B43CB8" w:rsidRPr="00E61ABE">
                <w:rPr>
                  <w:rFonts w:ascii="Garamond" w:eastAsia="Times New Roman" w:hAnsi="Garamond" w:cs="Arial"/>
                  <w:sz w:val="20"/>
                  <w:szCs w:val="20"/>
                  <w:highlight w:val="yellow"/>
                  <w:u w:val="single"/>
                  <w:lang w:eastAsia="cs-CZ"/>
                </w:rPr>
                <w:t>Číslo: 3/2008</w:t>
              </w:r>
            </w:hyperlink>
            <w:r w:rsidR="00B43CB8" w:rsidRPr="00E61ABE">
              <w:rPr>
                <w:rFonts w:ascii="Garamond" w:eastAsia="Times New Roman" w:hAnsi="Garamond" w:cs="Arial"/>
                <w:sz w:val="20"/>
                <w:szCs w:val="20"/>
                <w:highlight w:val="yellow"/>
                <w:lang w:eastAsia="cs-CZ"/>
              </w:rPr>
              <w:t> </w:t>
            </w:r>
            <w:r w:rsidR="00B43CB8" w:rsidRPr="00E61ABE">
              <w:rPr>
                <w:rFonts w:ascii="Garamond" w:eastAsia="Times New Roman" w:hAnsi="Garamond" w:cs="Arial"/>
                <w:sz w:val="20"/>
                <w:szCs w:val="20"/>
                <w:highlight w:val="yellow"/>
                <w:lang w:eastAsia="cs-CZ"/>
              </w:rPr>
              <w:br/>
              <w:t>Ročník: 6</w:t>
            </w:r>
          </w:p>
        </w:tc>
      </w:tr>
    </w:tbl>
    <w:p w:rsidR="00B43CB8" w:rsidRPr="00E61ABE" w:rsidRDefault="00B43CB8" w:rsidP="00E61ABE">
      <w:pPr>
        <w:spacing w:after="0" w:line="240" w:lineRule="auto"/>
        <w:rPr>
          <w:rFonts w:ascii="Garamond" w:eastAsia="Times New Roman" w:hAnsi="Garamond"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tblPr>
      <w:tblGrid>
        <w:gridCol w:w="9162"/>
      </w:tblGrid>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Rozhodnutí č:1485</w:t>
            </w:r>
          </w:p>
        </w:tc>
      </w:tr>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b/>
                <w:bCs/>
                <w:sz w:val="20"/>
                <w:szCs w:val="20"/>
                <w:highlight w:val="yellow"/>
                <w:lang w:eastAsia="cs-CZ"/>
              </w:rPr>
              <w:lastRenderedPageBreak/>
              <w:t>Právo na informace: fiktivní rozhodnutí</w:t>
            </w:r>
            <w:r w:rsidRPr="00E61ABE">
              <w:rPr>
                <w:rFonts w:ascii="Garamond" w:eastAsia="Times New Roman" w:hAnsi="Garamond" w:cs="Arial"/>
                <w:b/>
                <w:bCs/>
                <w:sz w:val="20"/>
                <w:szCs w:val="20"/>
                <w:highlight w:val="yellow"/>
                <w:lang w:eastAsia="cs-CZ"/>
              </w:rPr>
              <w:br/>
              <w:t>Řízení před soudem: žaloba proti nečinnosti</w:t>
            </w:r>
          </w:p>
        </w:tc>
      </w:tr>
      <w:tr w:rsidR="00B43CB8" w:rsidRPr="00E61ABE" w:rsidTr="00B43CB8">
        <w:trPr>
          <w:tblCellSpacing w:w="15" w:type="dxa"/>
        </w:trPr>
        <w:tc>
          <w:tcPr>
            <w:tcW w:w="0" w:type="auto"/>
            <w:vAlign w:val="center"/>
            <w:hideMark/>
          </w:tcPr>
          <w:p w:rsidR="00837C05" w:rsidRDefault="00B43CB8" w:rsidP="00837C05">
            <w:pPr>
              <w:spacing w:after="0" w:line="240" w:lineRule="auto"/>
              <w:jc w:val="both"/>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 xml:space="preserve">Ustanovení věty druhé § 79 odst. 1 s. </w:t>
            </w:r>
            <w:proofErr w:type="spellStart"/>
            <w:r w:rsidRPr="00E61ABE">
              <w:rPr>
                <w:rFonts w:ascii="Garamond" w:eastAsia="Times New Roman" w:hAnsi="Garamond" w:cs="Arial"/>
                <w:sz w:val="20"/>
                <w:szCs w:val="20"/>
                <w:highlight w:val="yellow"/>
                <w:lang w:eastAsia="cs-CZ"/>
              </w:rPr>
              <w:t>ř</w:t>
            </w:r>
            <w:proofErr w:type="spellEnd"/>
            <w:r w:rsidRPr="00E61ABE">
              <w:rPr>
                <w:rFonts w:ascii="Garamond" w:eastAsia="Times New Roman" w:hAnsi="Garamond" w:cs="Arial"/>
                <w:sz w:val="20"/>
                <w:szCs w:val="20"/>
                <w:highlight w:val="yellow"/>
                <w:lang w:eastAsia="cs-CZ"/>
              </w:rPr>
              <w:t>. s. vylučuje žalobní legitimaci v případech, kdy sice správní orgán ve</w:t>
            </w:r>
            <w:r w:rsidR="00321605">
              <w:rPr>
                <w:rFonts w:ascii="Garamond" w:eastAsia="Times New Roman" w:hAnsi="Garamond" w:cs="Arial"/>
                <w:sz w:val="20"/>
                <w:szCs w:val="20"/>
                <w:highlight w:val="yellow"/>
                <w:lang w:eastAsia="cs-CZ"/>
              </w:rPr>
              <w:t> </w:t>
            </w:r>
            <w:r w:rsidRPr="00E61ABE">
              <w:rPr>
                <w:rFonts w:ascii="Garamond" w:eastAsia="Times New Roman" w:hAnsi="Garamond" w:cs="Arial"/>
                <w:sz w:val="20"/>
                <w:szCs w:val="20"/>
                <w:highlight w:val="yellow"/>
                <w:lang w:eastAsia="cs-CZ"/>
              </w:rPr>
              <w:t>skutečnosti požadované rozhodnutí nevydal, avšak v důsledku splnění podmínek stanovených zvláštním zákonem vznikla fikce, že rozhodnutí o určitém obsahu bylo vydáno. V takových případech není založena pravomoc soudu poskytovat ochranu proti nečinnosti správního orgánu podle dílu druhého hlavy druhé části třetí soudního řádu správního a soud se žalobou nemůže meritorně zabývat. Chybí tak základní podmínka řízení, za které soud může jednat a rozhodovat ve věci.</w:t>
            </w:r>
          </w:p>
          <w:p w:rsidR="00B43CB8" w:rsidRPr="00E61ABE"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highlight w:val="yellow"/>
                <w:lang w:eastAsia="cs-CZ"/>
              </w:rPr>
              <w:br/>
              <w:t xml:space="preserve">(Podle rozsudku Nejvyššího správního soudu ze dne 14. 11. 2007, </w:t>
            </w:r>
            <w:proofErr w:type="spellStart"/>
            <w:r w:rsidRPr="00E61ABE">
              <w:rPr>
                <w:rFonts w:ascii="Garamond" w:eastAsia="Times New Roman" w:hAnsi="Garamond" w:cs="Arial"/>
                <w:sz w:val="20"/>
                <w:szCs w:val="20"/>
                <w:highlight w:val="yellow"/>
                <w:lang w:eastAsia="cs-CZ"/>
              </w:rPr>
              <w:t>čj</w:t>
            </w:r>
            <w:proofErr w:type="spellEnd"/>
            <w:r w:rsidRPr="00E61ABE">
              <w:rPr>
                <w:rFonts w:ascii="Garamond" w:eastAsia="Times New Roman" w:hAnsi="Garamond" w:cs="Arial"/>
                <w:sz w:val="20"/>
                <w:szCs w:val="20"/>
                <w:highlight w:val="yellow"/>
                <w:lang w:eastAsia="cs-CZ"/>
              </w:rPr>
              <w:t xml:space="preserve">. 1 </w:t>
            </w:r>
            <w:proofErr w:type="spellStart"/>
            <w:r w:rsidRPr="00E61ABE">
              <w:rPr>
                <w:rFonts w:ascii="Garamond" w:eastAsia="Times New Roman" w:hAnsi="Garamond" w:cs="Arial"/>
                <w:sz w:val="20"/>
                <w:szCs w:val="20"/>
                <w:highlight w:val="yellow"/>
                <w:lang w:eastAsia="cs-CZ"/>
              </w:rPr>
              <w:t>Ans</w:t>
            </w:r>
            <w:proofErr w:type="spellEnd"/>
            <w:r w:rsidRPr="00E61ABE">
              <w:rPr>
                <w:rFonts w:ascii="Garamond" w:eastAsia="Times New Roman" w:hAnsi="Garamond" w:cs="Arial"/>
                <w:sz w:val="20"/>
                <w:szCs w:val="20"/>
                <w:highlight w:val="yellow"/>
                <w:lang w:eastAsia="cs-CZ"/>
              </w:rPr>
              <w:t xml:space="preserve"> 5/2007-195)</w:t>
            </w:r>
            <w:r w:rsidRPr="00E61ABE">
              <w:rPr>
                <w:rFonts w:ascii="Garamond" w:eastAsia="Times New Roman" w:hAnsi="Garamond" w:cs="Arial"/>
                <w:sz w:val="20"/>
                <w:szCs w:val="20"/>
                <w:lang w:eastAsia="cs-CZ"/>
              </w:rPr>
              <w:t> </w:t>
            </w:r>
          </w:p>
        </w:tc>
      </w:tr>
    </w:tbl>
    <w:p w:rsidR="00B43CB8" w:rsidRPr="00E61ABE" w:rsidRDefault="00B43CB8"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43CB8" w:rsidRPr="00E61ABE" w:rsidTr="00B43CB8">
        <w:trPr>
          <w:tblCellSpacing w:w="15" w:type="dxa"/>
        </w:trPr>
        <w:tc>
          <w:tcPr>
            <w:tcW w:w="0" w:type="auto"/>
            <w:vAlign w:val="center"/>
            <w:hideMark/>
          </w:tcPr>
          <w:p w:rsidR="00B43CB8" w:rsidRPr="00E61ABE" w:rsidRDefault="00C25628" w:rsidP="00E61ABE">
            <w:pPr>
              <w:spacing w:after="0" w:line="240" w:lineRule="auto"/>
              <w:rPr>
                <w:rFonts w:ascii="Garamond" w:eastAsia="Times New Roman" w:hAnsi="Garamond" w:cs="Arial"/>
                <w:sz w:val="20"/>
                <w:szCs w:val="20"/>
                <w:lang w:eastAsia="cs-CZ"/>
              </w:rPr>
            </w:pPr>
            <w:hyperlink r:id="rId33" w:history="1">
              <w:r w:rsidR="00B43CB8" w:rsidRPr="00E61ABE">
                <w:rPr>
                  <w:rFonts w:ascii="Garamond" w:eastAsia="Times New Roman" w:hAnsi="Garamond" w:cs="Arial"/>
                  <w:sz w:val="20"/>
                  <w:szCs w:val="20"/>
                  <w:u w:val="single"/>
                  <w:lang w:eastAsia="cs-CZ"/>
                </w:rPr>
                <w:t>Číslo: 2/2008</w:t>
              </w:r>
            </w:hyperlink>
            <w:r w:rsidR="00B43CB8" w:rsidRPr="00E61ABE">
              <w:rPr>
                <w:rFonts w:ascii="Garamond" w:eastAsia="Times New Roman" w:hAnsi="Garamond" w:cs="Arial"/>
                <w:sz w:val="20"/>
                <w:szCs w:val="20"/>
                <w:lang w:eastAsia="cs-CZ"/>
              </w:rPr>
              <w:t> </w:t>
            </w:r>
            <w:r w:rsidR="00B43CB8" w:rsidRPr="00E61ABE">
              <w:rPr>
                <w:rFonts w:ascii="Garamond" w:eastAsia="Times New Roman" w:hAnsi="Garamond" w:cs="Arial"/>
                <w:sz w:val="20"/>
                <w:szCs w:val="20"/>
                <w:lang w:eastAsia="cs-CZ"/>
              </w:rPr>
              <w:br/>
              <w:t>Ročník: 6</w:t>
            </w:r>
          </w:p>
        </w:tc>
      </w:tr>
    </w:tbl>
    <w:p w:rsidR="00B43CB8" w:rsidRPr="00E61ABE" w:rsidRDefault="00B43CB8"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č:1469</w:t>
            </w:r>
          </w:p>
        </w:tc>
      </w:tr>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odepření poskytnutí informace</w:t>
            </w:r>
          </w:p>
        </w:tc>
      </w:tr>
      <w:tr w:rsidR="00B43CB8" w:rsidRPr="00E61ABE" w:rsidTr="00B43CB8">
        <w:trPr>
          <w:tblCellSpacing w:w="15" w:type="dxa"/>
        </w:trPr>
        <w:tc>
          <w:tcPr>
            <w:tcW w:w="0" w:type="auto"/>
            <w:vAlign w:val="center"/>
            <w:hideMark/>
          </w:tcPr>
          <w:p w:rsidR="00837C05"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Nepředloží-li žalovaný správní orgán k žádosti soudu spisy ve věci, bude zpravidla namístě zrušit napadené rozhodnutí pro nepřezkoumatelnost.</w:t>
            </w:r>
          </w:p>
          <w:p w:rsidR="00837C05"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Utajení informací podle zákona č. 148/1998 Sb., o ochraně utajovaných skutečností, může být důvodem pro</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odepření poskytnutí informace podle zákona č. 106/1999 Sb., o svobodném přístupu k informacím, nikoliv však za</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situace, kdy utajení podléhala příprava dokumentu, ale již ne dokument samotný.</w:t>
            </w:r>
            <w:r w:rsidRPr="00E61ABE">
              <w:rPr>
                <w:rFonts w:ascii="Garamond" w:eastAsia="Times New Roman" w:hAnsi="Garamond" w:cs="Arial"/>
                <w:sz w:val="20"/>
                <w:szCs w:val="20"/>
                <w:lang w:eastAsia="cs-CZ"/>
              </w:rPr>
              <w:br/>
              <w:t>Smluvní orgán se nemůže zprostit své povinnosti poskytnout informace tvrzením, že požadovaný dokument, který je</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 xml:space="preserve">smlouvou, celý obsahuje informace poskytnuté druhou smluvní stranou. Této povinnosti se nezprostí ani doložkou obsaženou v požadované smlouvě, podle níž si strany sjednaly zachovávání důvěrnosti co do obsahu a podmínek smlouvy. Své povinnosti se pak nezprostí ani možným porušením mezinárodních závazků České republiky, není-li smlouva </w:t>
            </w:r>
            <w:proofErr w:type="spellStart"/>
            <w:r w:rsidRPr="00E61ABE">
              <w:rPr>
                <w:rFonts w:ascii="Garamond" w:eastAsia="Times New Roman" w:hAnsi="Garamond" w:cs="Arial"/>
                <w:sz w:val="20"/>
                <w:szCs w:val="20"/>
                <w:lang w:eastAsia="cs-CZ"/>
              </w:rPr>
              <w:t>podřaditelná</w:t>
            </w:r>
            <w:proofErr w:type="spellEnd"/>
            <w:r w:rsidRPr="00E61ABE">
              <w:rPr>
                <w:rFonts w:ascii="Garamond" w:eastAsia="Times New Roman" w:hAnsi="Garamond" w:cs="Arial"/>
                <w:sz w:val="20"/>
                <w:szCs w:val="20"/>
                <w:lang w:eastAsia="cs-CZ"/>
              </w:rPr>
              <w:t xml:space="preserve"> čl. 10 a ani čl. 10a Ústavy.</w:t>
            </w:r>
          </w:p>
          <w:p w:rsidR="00837C05"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III. Správní orgán, který má obecnou povinnost poskytovat informace podle zákona o svobodném přístupu k</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informacím, nemůže jejich poskytnutí omezit nad rámec zákonných výjimek i svým vlastním úkonem.</w:t>
            </w:r>
            <w:r w:rsidRPr="00E61ABE">
              <w:rPr>
                <w:rFonts w:ascii="Garamond" w:eastAsia="Times New Roman" w:hAnsi="Garamond" w:cs="Arial"/>
                <w:sz w:val="20"/>
                <w:szCs w:val="20"/>
                <w:lang w:eastAsia="cs-CZ"/>
              </w:rPr>
              <w:br/>
              <w:t>Postup soudu podle § 16 odst. 4 zákona č. 106/1999 Sb., o svobodném přístupu k informacím, přichází v úvahu teprve tehdy, je-li rozhodnutí o odepření informace přezkoumatelné.</w:t>
            </w:r>
          </w:p>
          <w:p w:rsidR="00B43CB8" w:rsidRPr="00E61ABE"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31. 7. 2006,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A 2/2003-73)</w:t>
            </w:r>
          </w:p>
        </w:tc>
      </w:tr>
    </w:tbl>
    <w:p w:rsidR="00B43CB8" w:rsidRPr="00E61ABE" w:rsidRDefault="00B43CB8"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290"/>
      </w:tblGrid>
      <w:tr w:rsidR="00B43CB8" w:rsidRPr="00E61ABE" w:rsidTr="00B43CB8">
        <w:trPr>
          <w:tblCellSpacing w:w="15" w:type="dxa"/>
        </w:trPr>
        <w:tc>
          <w:tcPr>
            <w:tcW w:w="0" w:type="auto"/>
            <w:vAlign w:val="center"/>
            <w:hideMark/>
          </w:tcPr>
          <w:p w:rsidR="00B43CB8" w:rsidRPr="00E61ABE" w:rsidRDefault="00C25628" w:rsidP="00E61ABE">
            <w:pPr>
              <w:spacing w:after="0" w:line="240" w:lineRule="auto"/>
              <w:rPr>
                <w:rFonts w:ascii="Garamond" w:eastAsia="Times New Roman" w:hAnsi="Garamond" w:cs="Arial"/>
                <w:sz w:val="20"/>
                <w:szCs w:val="20"/>
                <w:lang w:eastAsia="cs-CZ"/>
              </w:rPr>
            </w:pPr>
            <w:hyperlink r:id="rId34" w:history="1">
              <w:r w:rsidR="00B43CB8" w:rsidRPr="00E61ABE">
                <w:rPr>
                  <w:rFonts w:ascii="Garamond" w:eastAsia="Times New Roman" w:hAnsi="Garamond" w:cs="Arial"/>
                  <w:sz w:val="20"/>
                  <w:szCs w:val="20"/>
                  <w:u w:val="single"/>
                  <w:lang w:eastAsia="cs-CZ"/>
                </w:rPr>
                <w:t>Číslo: 12/2007</w:t>
              </w:r>
            </w:hyperlink>
            <w:r w:rsidR="00B43CB8" w:rsidRPr="00E61ABE">
              <w:rPr>
                <w:rFonts w:ascii="Garamond" w:eastAsia="Times New Roman" w:hAnsi="Garamond" w:cs="Arial"/>
                <w:sz w:val="20"/>
                <w:szCs w:val="20"/>
                <w:lang w:eastAsia="cs-CZ"/>
              </w:rPr>
              <w:t> </w:t>
            </w:r>
            <w:r w:rsidR="00B43CB8" w:rsidRPr="00E61ABE">
              <w:rPr>
                <w:rFonts w:ascii="Garamond" w:eastAsia="Times New Roman" w:hAnsi="Garamond" w:cs="Arial"/>
                <w:sz w:val="20"/>
                <w:szCs w:val="20"/>
                <w:lang w:eastAsia="cs-CZ"/>
              </w:rPr>
              <w:br/>
              <w:t>Ročník: 5</w:t>
            </w:r>
          </w:p>
        </w:tc>
      </w:tr>
    </w:tbl>
    <w:p w:rsidR="00B43CB8" w:rsidRPr="00E61ABE" w:rsidRDefault="00B43CB8"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č:1402</w:t>
            </w:r>
          </w:p>
        </w:tc>
      </w:tr>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povinné subjekty</w:t>
            </w:r>
          </w:p>
        </w:tc>
      </w:tr>
      <w:tr w:rsidR="00B43CB8" w:rsidRPr="00E61ABE" w:rsidTr="00B43CB8">
        <w:trPr>
          <w:tblCellSpacing w:w="15" w:type="dxa"/>
        </w:trPr>
        <w:tc>
          <w:tcPr>
            <w:tcW w:w="0" w:type="auto"/>
            <w:vAlign w:val="center"/>
            <w:hideMark/>
          </w:tcPr>
          <w:p w:rsidR="00837C05"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Národní památkový ústav je jakožto odborná organizace státní památkové péče zřízená dle zákona ČNR č.</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20/1987 Sb., o státní památkové péči, veřejnou institucí povinnou k poskytování informací podle zákona č.</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106/1999 Sb., o svobodném přístupu k informacím.</w:t>
            </w:r>
          </w:p>
          <w:p w:rsidR="00837C05"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Subjektem povinným rozhodnout dle § 16 odst. 2 zákona č. 106/1999 Sb., o svobodném přístupu k informacím, o odvolání proti rozhodnutí Národního památkového ústavu o neposkytnutí informací je Ministerstvo kultury, které je dle § 25 odst. 2 zákona ČNR č. 20/1987 Sb., o státní památkové péči, Národnímu památkovému ústavu nadřízeno a žádný zvláštní zákon ohledně subordinačních vztahů mezi uvedenými subjekty nestanoví jinak.</w:t>
            </w:r>
          </w:p>
          <w:p w:rsidR="00B43CB8" w:rsidRPr="00E61ABE"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13. 9. 2007,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9 As 28/2007-77)</w:t>
            </w:r>
          </w:p>
        </w:tc>
      </w:tr>
    </w:tbl>
    <w:p w:rsidR="00B43CB8" w:rsidRPr="00E61ABE" w:rsidRDefault="00B43CB8"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290"/>
      </w:tblGrid>
      <w:tr w:rsidR="00B43CB8" w:rsidRPr="00E61ABE" w:rsidTr="00B43CB8">
        <w:trPr>
          <w:tblCellSpacing w:w="15" w:type="dxa"/>
        </w:trPr>
        <w:tc>
          <w:tcPr>
            <w:tcW w:w="0" w:type="auto"/>
            <w:vAlign w:val="center"/>
            <w:hideMark/>
          </w:tcPr>
          <w:p w:rsidR="00B43CB8" w:rsidRPr="00E61ABE" w:rsidRDefault="00C25628" w:rsidP="00E61ABE">
            <w:pPr>
              <w:spacing w:after="0" w:line="240" w:lineRule="auto"/>
              <w:rPr>
                <w:rFonts w:ascii="Garamond" w:eastAsia="Times New Roman" w:hAnsi="Garamond" w:cs="Arial"/>
                <w:sz w:val="20"/>
                <w:szCs w:val="20"/>
                <w:lang w:eastAsia="cs-CZ"/>
              </w:rPr>
            </w:pPr>
            <w:hyperlink r:id="rId35" w:history="1">
              <w:r w:rsidR="00B43CB8" w:rsidRPr="00E61ABE">
                <w:rPr>
                  <w:rFonts w:ascii="Garamond" w:eastAsia="Times New Roman" w:hAnsi="Garamond" w:cs="Arial"/>
                  <w:sz w:val="20"/>
                  <w:szCs w:val="20"/>
                  <w:u w:val="single"/>
                  <w:lang w:eastAsia="cs-CZ"/>
                </w:rPr>
                <w:t>Číslo: 11/2007</w:t>
              </w:r>
            </w:hyperlink>
            <w:r w:rsidR="00B43CB8" w:rsidRPr="00E61ABE">
              <w:rPr>
                <w:rFonts w:ascii="Garamond" w:eastAsia="Times New Roman" w:hAnsi="Garamond" w:cs="Arial"/>
                <w:sz w:val="20"/>
                <w:szCs w:val="20"/>
                <w:lang w:eastAsia="cs-CZ"/>
              </w:rPr>
              <w:t> </w:t>
            </w:r>
            <w:r w:rsidR="00B43CB8" w:rsidRPr="00E61ABE">
              <w:rPr>
                <w:rFonts w:ascii="Garamond" w:eastAsia="Times New Roman" w:hAnsi="Garamond" w:cs="Arial"/>
                <w:sz w:val="20"/>
                <w:szCs w:val="20"/>
                <w:lang w:eastAsia="cs-CZ"/>
              </w:rPr>
              <w:br/>
              <w:t>Ročník: 5</w:t>
            </w:r>
          </w:p>
        </w:tc>
      </w:tr>
    </w:tbl>
    <w:p w:rsidR="00B43CB8" w:rsidRPr="00E61ABE" w:rsidRDefault="00B43CB8"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č:1367</w:t>
            </w:r>
          </w:p>
        </w:tc>
      </w:tr>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povinný subjekt</w:t>
            </w:r>
          </w:p>
        </w:tc>
      </w:tr>
      <w:tr w:rsidR="00B43CB8" w:rsidRPr="00E61ABE" w:rsidTr="00B43CB8">
        <w:trPr>
          <w:tblCellSpacing w:w="15" w:type="dxa"/>
        </w:trPr>
        <w:tc>
          <w:tcPr>
            <w:tcW w:w="0" w:type="auto"/>
            <w:vAlign w:val="center"/>
            <w:hideMark/>
          </w:tcPr>
          <w:p w:rsidR="00837C05"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Kancelář prezidenta republiky je subjektem, který má ve smyslu § 2 zákona č. 106/1999 Sb., o svobodném přístupu k</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informacím, povinnost poskytovat informace.</w:t>
            </w:r>
          </w:p>
          <w:p w:rsidR="00B43CB8" w:rsidRPr="00E61ABE"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12. 7. 2007,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2 As 89/2006-107)</w:t>
            </w:r>
          </w:p>
        </w:tc>
      </w:tr>
    </w:tbl>
    <w:p w:rsidR="00B43CB8" w:rsidRPr="00E61ABE" w:rsidRDefault="00B43CB8"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290"/>
      </w:tblGrid>
      <w:tr w:rsidR="00B43CB8" w:rsidRPr="00E61ABE" w:rsidTr="00B43CB8">
        <w:trPr>
          <w:tblCellSpacing w:w="15" w:type="dxa"/>
        </w:trPr>
        <w:tc>
          <w:tcPr>
            <w:tcW w:w="0" w:type="auto"/>
            <w:vAlign w:val="center"/>
            <w:hideMark/>
          </w:tcPr>
          <w:p w:rsidR="00B43CB8" w:rsidRPr="00E61ABE" w:rsidRDefault="00C25628" w:rsidP="00E61ABE">
            <w:pPr>
              <w:spacing w:after="0" w:line="240" w:lineRule="auto"/>
              <w:rPr>
                <w:rFonts w:ascii="Garamond" w:eastAsia="Times New Roman" w:hAnsi="Garamond" w:cs="Arial"/>
                <w:sz w:val="20"/>
                <w:szCs w:val="20"/>
                <w:lang w:eastAsia="cs-CZ"/>
              </w:rPr>
            </w:pPr>
            <w:hyperlink r:id="rId36" w:history="1">
              <w:r w:rsidR="00B43CB8" w:rsidRPr="00E61ABE">
                <w:rPr>
                  <w:rFonts w:ascii="Garamond" w:eastAsia="Times New Roman" w:hAnsi="Garamond" w:cs="Arial"/>
                  <w:sz w:val="20"/>
                  <w:szCs w:val="20"/>
                  <w:u w:val="single"/>
                  <w:lang w:eastAsia="cs-CZ"/>
                </w:rPr>
                <w:t>Číslo: 11/2007</w:t>
              </w:r>
            </w:hyperlink>
            <w:r w:rsidR="00B43CB8" w:rsidRPr="00E61ABE">
              <w:rPr>
                <w:rFonts w:ascii="Garamond" w:eastAsia="Times New Roman" w:hAnsi="Garamond" w:cs="Arial"/>
                <w:sz w:val="20"/>
                <w:szCs w:val="20"/>
                <w:lang w:eastAsia="cs-CZ"/>
              </w:rPr>
              <w:t> </w:t>
            </w:r>
            <w:r w:rsidR="00B43CB8" w:rsidRPr="00E61ABE">
              <w:rPr>
                <w:rFonts w:ascii="Garamond" w:eastAsia="Times New Roman" w:hAnsi="Garamond" w:cs="Arial"/>
                <w:sz w:val="20"/>
                <w:szCs w:val="20"/>
                <w:lang w:eastAsia="cs-CZ"/>
              </w:rPr>
              <w:br/>
              <w:t>Ročník: 5</w:t>
            </w:r>
          </w:p>
        </w:tc>
      </w:tr>
    </w:tbl>
    <w:p w:rsidR="00B43CB8" w:rsidRPr="00E61ABE" w:rsidRDefault="00B43CB8"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č:1366</w:t>
            </w:r>
          </w:p>
        </w:tc>
      </w:tr>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povinný subjekt</w:t>
            </w:r>
          </w:p>
        </w:tc>
      </w:tr>
      <w:tr w:rsidR="00B43CB8" w:rsidRPr="00E61ABE" w:rsidTr="00B43CB8">
        <w:trPr>
          <w:tblCellSpacing w:w="15" w:type="dxa"/>
        </w:trPr>
        <w:tc>
          <w:tcPr>
            <w:tcW w:w="0" w:type="auto"/>
            <w:vAlign w:val="center"/>
            <w:hideMark/>
          </w:tcPr>
          <w:p w:rsidR="00837C05"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Ředitelství silnic a dálnic ČR bylo jakožto veřejná instituce hospodařící s veřejnými prostředky povinným subjektem ve smyslu § 2 odst. 1 zákona č. 106/1999 Sb., o svobodném přístupu k informacím, ve znění účinném do 22. 3. 2006, jehož stíhala povinnost poskytovat informace vztahující se k jeho působnosti.</w:t>
            </w:r>
          </w:p>
          <w:p w:rsidR="00B43CB8" w:rsidRPr="00E61ABE"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Městského soudu v Praze ze dne 31. 5. 2007,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9 Ca 186/2005-40)</w:t>
            </w:r>
          </w:p>
        </w:tc>
      </w:tr>
    </w:tbl>
    <w:p w:rsidR="00B43CB8" w:rsidRPr="00E61ABE" w:rsidRDefault="00B43CB8"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290"/>
      </w:tblGrid>
      <w:tr w:rsidR="00B43CB8" w:rsidRPr="00E61ABE" w:rsidTr="00B43CB8">
        <w:trPr>
          <w:tblCellSpacing w:w="15" w:type="dxa"/>
        </w:trPr>
        <w:tc>
          <w:tcPr>
            <w:tcW w:w="0" w:type="auto"/>
            <w:vAlign w:val="center"/>
            <w:hideMark/>
          </w:tcPr>
          <w:p w:rsidR="00B43CB8" w:rsidRPr="00E61ABE" w:rsidRDefault="00C25628" w:rsidP="00E61ABE">
            <w:pPr>
              <w:spacing w:after="0" w:line="240" w:lineRule="auto"/>
              <w:rPr>
                <w:rFonts w:ascii="Garamond" w:eastAsia="Times New Roman" w:hAnsi="Garamond" w:cs="Arial"/>
                <w:sz w:val="20"/>
                <w:szCs w:val="20"/>
                <w:lang w:eastAsia="cs-CZ"/>
              </w:rPr>
            </w:pPr>
            <w:hyperlink r:id="rId37" w:history="1">
              <w:r w:rsidR="00B43CB8" w:rsidRPr="00E61ABE">
                <w:rPr>
                  <w:rFonts w:ascii="Garamond" w:eastAsia="Times New Roman" w:hAnsi="Garamond" w:cs="Arial"/>
                  <w:sz w:val="20"/>
                  <w:szCs w:val="20"/>
                  <w:u w:val="single"/>
                  <w:lang w:eastAsia="cs-CZ"/>
                </w:rPr>
                <w:t>Číslo: 10/2007</w:t>
              </w:r>
            </w:hyperlink>
            <w:r w:rsidR="00B43CB8" w:rsidRPr="00E61ABE">
              <w:rPr>
                <w:rFonts w:ascii="Garamond" w:eastAsia="Times New Roman" w:hAnsi="Garamond" w:cs="Arial"/>
                <w:sz w:val="20"/>
                <w:szCs w:val="20"/>
                <w:lang w:eastAsia="cs-CZ"/>
              </w:rPr>
              <w:t> </w:t>
            </w:r>
            <w:r w:rsidR="00B43CB8" w:rsidRPr="00E61ABE">
              <w:rPr>
                <w:rFonts w:ascii="Garamond" w:eastAsia="Times New Roman" w:hAnsi="Garamond" w:cs="Arial"/>
                <w:sz w:val="20"/>
                <w:szCs w:val="20"/>
                <w:lang w:eastAsia="cs-CZ"/>
              </w:rPr>
              <w:br/>
              <w:t>Ročník: 5</w:t>
            </w:r>
          </w:p>
        </w:tc>
      </w:tr>
    </w:tbl>
    <w:p w:rsidR="00B43CB8" w:rsidRPr="00E61ABE" w:rsidRDefault="00B43CB8"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č:1342</w:t>
            </w:r>
          </w:p>
        </w:tc>
      </w:tr>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omezení práva na informace; poskytování informací ze zasedání zastupitelstva obce</w:t>
            </w:r>
          </w:p>
        </w:tc>
      </w:tr>
      <w:tr w:rsidR="00B43CB8" w:rsidRPr="00E61ABE" w:rsidTr="00B43CB8">
        <w:trPr>
          <w:tblCellSpacing w:w="15" w:type="dxa"/>
        </w:trPr>
        <w:tc>
          <w:tcPr>
            <w:tcW w:w="0" w:type="auto"/>
            <w:vAlign w:val="center"/>
            <w:hideMark/>
          </w:tcPr>
          <w:p w:rsidR="00837C05"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Zákon č. 128/2000 Sb., o obcích, není zvláštním zákonem (</w:t>
            </w:r>
            <w:proofErr w:type="spellStart"/>
            <w:r w:rsidRPr="00E61ABE">
              <w:rPr>
                <w:rFonts w:ascii="Garamond" w:eastAsia="Times New Roman" w:hAnsi="Garamond" w:cs="Arial"/>
                <w:sz w:val="20"/>
                <w:szCs w:val="20"/>
                <w:lang w:eastAsia="cs-CZ"/>
              </w:rPr>
              <w:t>lex</w:t>
            </w:r>
            <w:proofErr w:type="spellEnd"/>
            <w:r w:rsidRPr="00E61ABE">
              <w:rPr>
                <w:rFonts w:ascii="Garamond" w:eastAsia="Times New Roman" w:hAnsi="Garamond" w:cs="Arial"/>
                <w:sz w:val="20"/>
                <w:szCs w:val="20"/>
                <w:lang w:eastAsia="cs-CZ"/>
              </w:rPr>
              <w:t xml:space="preserve"> </w:t>
            </w:r>
            <w:proofErr w:type="spellStart"/>
            <w:r w:rsidRPr="00E61ABE">
              <w:rPr>
                <w:rFonts w:ascii="Garamond" w:eastAsia="Times New Roman" w:hAnsi="Garamond" w:cs="Arial"/>
                <w:sz w:val="20"/>
                <w:szCs w:val="20"/>
                <w:lang w:eastAsia="cs-CZ"/>
              </w:rPr>
              <w:t>specialis</w:t>
            </w:r>
            <w:proofErr w:type="spellEnd"/>
            <w:r w:rsidRPr="00E61ABE">
              <w:rPr>
                <w:rFonts w:ascii="Garamond" w:eastAsia="Times New Roman" w:hAnsi="Garamond" w:cs="Arial"/>
                <w:sz w:val="20"/>
                <w:szCs w:val="20"/>
                <w:lang w:eastAsia="cs-CZ"/>
              </w:rPr>
              <w:t>) vůči zákonu č. 106/1999 Sb., o svobodném přístupu k informacím, který by obci stanovil povinnost zveřejňovat zápisy ze zasedání zastupitelstva ve smyslu § 11 odst. 2 zákona č. 106/1999 Sb., o svobodném přístupu k informacím (povinnost zveřejňovat informace na základě zvláštního zákona v předem stanovených pravidelných obdobích až do nejbližšího následujícího období), a nezakládá tedy možnost omezit právo na informace s poukazem na § 97 zákona č. 128/2000 Sb., o obcích (povinnost obce informovat občany o činnosti orgánů obce).</w:t>
            </w:r>
          </w:p>
          <w:p w:rsidR="00B43CB8" w:rsidRPr="00E61ABE"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27. 6. 2007,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6 As 79/2006-58) </w:t>
            </w:r>
          </w:p>
        </w:tc>
      </w:tr>
    </w:tbl>
    <w:p w:rsidR="00B43CB8" w:rsidRPr="00E61ABE" w:rsidRDefault="00B43CB8"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290"/>
      </w:tblGrid>
      <w:tr w:rsidR="00B43CB8" w:rsidRPr="00E61ABE" w:rsidTr="00B43CB8">
        <w:trPr>
          <w:tblCellSpacing w:w="15" w:type="dxa"/>
        </w:trPr>
        <w:tc>
          <w:tcPr>
            <w:tcW w:w="0" w:type="auto"/>
            <w:vAlign w:val="center"/>
            <w:hideMark/>
          </w:tcPr>
          <w:p w:rsidR="00B43CB8" w:rsidRPr="00E61ABE" w:rsidRDefault="00C25628" w:rsidP="00E61ABE">
            <w:pPr>
              <w:spacing w:after="0" w:line="240" w:lineRule="auto"/>
              <w:rPr>
                <w:rFonts w:ascii="Garamond" w:eastAsia="Times New Roman" w:hAnsi="Garamond" w:cs="Arial"/>
                <w:sz w:val="20"/>
                <w:szCs w:val="20"/>
                <w:lang w:eastAsia="cs-CZ"/>
              </w:rPr>
            </w:pPr>
            <w:hyperlink r:id="rId38" w:history="1">
              <w:r w:rsidR="00B43CB8" w:rsidRPr="00E61ABE">
                <w:rPr>
                  <w:rFonts w:ascii="Garamond" w:eastAsia="Times New Roman" w:hAnsi="Garamond" w:cs="Arial"/>
                  <w:sz w:val="20"/>
                  <w:szCs w:val="20"/>
                  <w:u w:val="single"/>
                  <w:lang w:eastAsia="cs-CZ"/>
                </w:rPr>
                <w:t>Číslo: 10/2007</w:t>
              </w:r>
            </w:hyperlink>
            <w:r w:rsidR="00B43CB8" w:rsidRPr="00E61ABE">
              <w:rPr>
                <w:rFonts w:ascii="Garamond" w:eastAsia="Times New Roman" w:hAnsi="Garamond" w:cs="Arial"/>
                <w:sz w:val="20"/>
                <w:szCs w:val="20"/>
                <w:lang w:eastAsia="cs-CZ"/>
              </w:rPr>
              <w:t> </w:t>
            </w:r>
            <w:r w:rsidR="00B43CB8" w:rsidRPr="00E61ABE">
              <w:rPr>
                <w:rFonts w:ascii="Garamond" w:eastAsia="Times New Roman" w:hAnsi="Garamond" w:cs="Arial"/>
                <w:sz w:val="20"/>
                <w:szCs w:val="20"/>
                <w:lang w:eastAsia="cs-CZ"/>
              </w:rPr>
              <w:br/>
              <w:t>Ročník: 5</w:t>
            </w:r>
          </w:p>
        </w:tc>
      </w:tr>
    </w:tbl>
    <w:p w:rsidR="00B43CB8" w:rsidRPr="00E61ABE" w:rsidRDefault="00B43CB8"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č:1330</w:t>
            </w:r>
          </w:p>
        </w:tc>
      </w:tr>
      <w:tr w:rsidR="00B43CB8" w:rsidRPr="00E61ABE" w:rsidTr="00B43CB8">
        <w:trPr>
          <w:tblCellSpacing w:w="15" w:type="dxa"/>
        </w:trPr>
        <w:tc>
          <w:tcPr>
            <w:tcW w:w="0" w:type="auto"/>
            <w:vAlign w:val="center"/>
            <w:hideMark/>
          </w:tcPr>
          <w:p w:rsidR="00B43CB8" w:rsidRPr="00E61ABE" w:rsidRDefault="00B43CB8"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Ochrana přírody a krajiny: informace o zahajovaných správních řízeních</w:t>
            </w:r>
          </w:p>
        </w:tc>
      </w:tr>
      <w:tr w:rsidR="00B43CB8" w:rsidRPr="00E61ABE" w:rsidTr="00B43CB8">
        <w:trPr>
          <w:tblCellSpacing w:w="15" w:type="dxa"/>
        </w:trPr>
        <w:tc>
          <w:tcPr>
            <w:tcW w:w="0" w:type="auto"/>
            <w:vAlign w:val="center"/>
            <w:hideMark/>
          </w:tcPr>
          <w:p w:rsidR="00B43CB8" w:rsidRPr="00E61ABE" w:rsidRDefault="00B43CB8"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Doručování veřejnou vyhláškou představuje formu uvědomění účastníků řízení o skutečnostech, které by jim byly jinak sděleny přímým doručením písemnosti. Nelze proto tímto způsobem nahrazovat postup předvídaný v § 70 zákona ČNR č. 114/1992 Sb., o ochraně přírody a krajiny, a mít jej za informaci toho kterého občanského sdružení, dobrovolného sboru či aktivu občanů o zahajovaných správních řízeních, při nichž mohou být dotčeny zájmy ochrany přírody a krajiny chráněné tímto zákonem. O tom musí být každý z uvedených subjektů informován individuálně a písemně, neboť jedině tak lze zajistit reálnost oprávnění plynoucích z citovaného zákonného ustanovení.</w:t>
            </w:r>
            <w:r w:rsidRPr="00E61ABE">
              <w:rPr>
                <w:rFonts w:ascii="Garamond" w:eastAsia="Times New Roman" w:hAnsi="Garamond" w:cs="Arial"/>
                <w:sz w:val="20"/>
                <w:szCs w:val="20"/>
                <w:lang w:eastAsia="cs-CZ"/>
              </w:rPr>
              <w:br/>
            </w:r>
            <w:r w:rsidRPr="00E61ABE">
              <w:rPr>
                <w:rFonts w:ascii="Garamond" w:eastAsia="Times New Roman" w:hAnsi="Garamond" w:cs="Arial"/>
                <w:sz w:val="20"/>
                <w:szCs w:val="20"/>
                <w:lang w:eastAsia="cs-CZ"/>
              </w:rPr>
              <w:br/>
              <w:t xml:space="preserve">(Podle rozsudku Krajského soudu v Hradci Králové ze dne 20. 4. 2006,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30 Ca 5/2006-21)</w:t>
            </w:r>
          </w:p>
        </w:tc>
      </w:tr>
    </w:tbl>
    <w:p w:rsidR="00B43CB8" w:rsidRPr="00E61ABE" w:rsidRDefault="00B43CB8"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830D05" w:rsidRPr="00E61ABE" w:rsidTr="00830D05">
        <w:trPr>
          <w:tblCellSpacing w:w="15" w:type="dxa"/>
        </w:trPr>
        <w:tc>
          <w:tcPr>
            <w:tcW w:w="0" w:type="auto"/>
            <w:vAlign w:val="center"/>
            <w:hideMark/>
          </w:tcPr>
          <w:p w:rsidR="00830D05" w:rsidRPr="00E61ABE" w:rsidRDefault="00C25628" w:rsidP="00E61ABE">
            <w:pPr>
              <w:spacing w:after="0" w:line="240" w:lineRule="auto"/>
              <w:rPr>
                <w:rFonts w:ascii="Garamond" w:eastAsia="Times New Roman" w:hAnsi="Garamond" w:cs="Arial"/>
                <w:sz w:val="20"/>
                <w:szCs w:val="20"/>
                <w:lang w:eastAsia="cs-CZ"/>
              </w:rPr>
            </w:pPr>
            <w:hyperlink r:id="rId39" w:history="1">
              <w:r w:rsidR="00830D05" w:rsidRPr="00E61ABE">
                <w:rPr>
                  <w:rFonts w:ascii="Garamond" w:eastAsia="Times New Roman" w:hAnsi="Garamond" w:cs="Arial"/>
                  <w:sz w:val="20"/>
                  <w:szCs w:val="20"/>
                  <w:u w:val="single"/>
                  <w:lang w:eastAsia="cs-CZ"/>
                </w:rPr>
                <w:t>Číslo: 9/2007</w:t>
              </w:r>
            </w:hyperlink>
            <w:r w:rsidR="00830D05" w:rsidRPr="00E61ABE">
              <w:rPr>
                <w:rFonts w:ascii="Garamond" w:eastAsia="Times New Roman" w:hAnsi="Garamond" w:cs="Arial"/>
                <w:sz w:val="20"/>
                <w:szCs w:val="20"/>
                <w:lang w:eastAsia="cs-CZ"/>
              </w:rPr>
              <w:t> </w:t>
            </w:r>
            <w:r w:rsidR="00830D05" w:rsidRPr="00E61ABE">
              <w:rPr>
                <w:rFonts w:ascii="Garamond" w:eastAsia="Times New Roman" w:hAnsi="Garamond" w:cs="Arial"/>
                <w:sz w:val="20"/>
                <w:szCs w:val="20"/>
                <w:lang w:eastAsia="cs-CZ"/>
              </w:rPr>
              <w:br/>
              <w:t>Ročník: 5</w:t>
            </w:r>
          </w:p>
        </w:tc>
      </w:tr>
    </w:tbl>
    <w:p w:rsidR="00830D05" w:rsidRPr="00E61ABE" w:rsidRDefault="00830D05"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830D05" w:rsidRPr="00E61ABE" w:rsidTr="00830D05">
        <w:trPr>
          <w:tblCellSpacing w:w="15" w:type="dxa"/>
        </w:trPr>
        <w:tc>
          <w:tcPr>
            <w:tcW w:w="0" w:type="auto"/>
            <w:vAlign w:val="center"/>
            <w:hideMark/>
          </w:tcPr>
          <w:p w:rsidR="00830D05" w:rsidRPr="00E61ABE" w:rsidRDefault="00830D05"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č:1300</w:t>
            </w:r>
          </w:p>
        </w:tc>
      </w:tr>
      <w:tr w:rsidR="00830D05" w:rsidRPr="00E61ABE" w:rsidTr="00830D05">
        <w:trPr>
          <w:tblCellSpacing w:w="15" w:type="dxa"/>
        </w:trPr>
        <w:tc>
          <w:tcPr>
            <w:tcW w:w="0" w:type="auto"/>
            <w:vAlign w:val="center"/>
            <w:hideMark/>
          </w:tcPr>
          <w:p w:rsidR="00830D05" w:rsidRPr="00E61ABE" w:rsidRDefault="00830D05"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přístup k informacím obsaženým v územně plánovací dokumentaci</w:t>
            </w:r>
          </w:p>
        </w:tc>
      </w:tr>
      <w:tr w:rsidR="00830D05" w:rsidRPr="00E61ABE" w:rsidTr="00830D05">
        <w:trPr>
          <w:tblCellSpacing w:w="15" w:type="dxa"/>
        </w:trPr>
        <w:tc>
          <w:tcPr>
            <w:tcW w:w="0" w:type="auto"/>
            <w:vAlign w:val="center"/>
            <w:hideMark/>
          </w:tcPr>
          <w:p w:rsidR="00837C05" w:rsidRDefault="00830D05"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Od práva náležejícího vybrané skupině osob ve smyslu § 133 zákona č. 50/1976 Sb., stavebního zákona, je třeba odlišit obecné právo vyplývající ze zákona č. 106/1999 Sb., o svobodném přístupu k informacím, tj. obecné právo na</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informace, které přísluší všem a podléhá omezením stanoveným pouze a jedině zákonem. Ustanovení § 133 stavebního zákona, podmiňující možnost přístupu k informacím obsaženým v územně plánovací dokumentaci a</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dokumentaci staveb tím, že žadatel o informaci správnímu orgánu prokáže odůvodněnost svého požadavku, nebylo možné chápat tak, že omezuje možnosti obecného poskytování informací podle zákona o svobodném přístupu k</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informacím. Podle § 133 stavebního zákona byly chráněny pouze některé druhy informací, a to z důvodu ochrany zájmů tam uvedených.</w:t>
            </w:r>
          </w:p>
          <w:p w:rsidR="00830D05" w:rsidRPr="00E61ABE" w:rsidRDefault="00830D05"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Městského soudu v Praze ze dne 30. 5. 2007,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5 Ca 126/2006-28)</w:t>
            </w:r>
          </w:p>
        </w:tc>
      </w:tr>
    </w:tbl>
    <w:p w:rsidR="00830D05" w:rsidRPr="00E61ABE" w:rsidRDefault="00830D05"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77200" w:rsidRPr="00E61ABE" w:rsidTr="00B77200">
        <w:trPr>
          <w:tblCellSpacing w:w="15" w:type="dxa"/>
        </w:trPr>
        <w:tc>
          <w:tcPr>
            <w:tcW w:w="0" w:type="auto"/>
            <w:vAlign w:val="center"/>
            <w:hideMark/>
          </w:tcPr>
          <w:p w:rsidR="00B77200" w:rsidRPr="00E61ABE" w:rsidRDefault="00C25628" w:rsidP="00E61ABE">
            <w:pPr>
              <w:spacing w:after="0" w:line="240" w:lineRule="auto"/>
              <w:rPr>
                <w:rFonts w:ascii="Garamond" w:eastAsia="Times New Roman" w:hAnsi="Garamond" w:cs="Arial"/>
                <w:sz w:val="20"/>
                <w:szCs w:val="20"/>
                <w:lang w:eastAsia="cs-CZ"/>
              </w:rPr>
            </w:pPr>
            <w:hyperlink r:id="rId40" w:history="1">
              <w:r w:rsidR="00B77200" w:rsidRPr="00E61ABE">
                <w:rPr>
                  <w:rFonts w:ascii="Garamond" w:eastAsia="Times New Roman" w:hAnsi="Garamond" w:cs="Arial"/>
                  <w:sz w:val="20"/>
                  <w:szCs w:val="20"/>
                  <w:u w:val="single"/>
                  <w:lang w:eastAsia="cs-CZ"/>
                </w:rPr>
                <w:t>Číslo: 8/2007</w:t>
              </w:r>
            </w:hyperlink>
            <w:r w:rsidR="00B77200" w:rsidRPr="00E61ABE">
              <w:rPr>
                <w:rFonts w:ascii="Garamond" w:eastAsia="Times New Roman" w:hAnsi="Garamond" w:cs="Arial"/>
                <w:sz w:val="20"/>
                <w:szCs w:val="20"/>
                <w:lang w:eastAsia="cs-CZ"/>
              </w:rPr>
              <w:t> </w:t>
            </w:r>
            <w:r w:rsidR="00B77200" w:rsidRPr="00E61ABE">
              <w:rPr>
                <w:rFonts w:ascii="Garamond" w:eastAsia="Times New Roman" w:hAnsi="Garamond" w:cs="Arial"/>
                <w:sz w:val="20"/>
                <w:szCs w:val="20"/>
                <w:lang w:eastAsia="cs-CZ"/>
              </w:rPr>
              <w:br/>
              <w:t>Ročník: 5</w:t>
            </w:r>
          </w:p>
        </w:tc>
      </w:tr>
    </w:tbl>
    <w:p w:rsidR="00B77200" w:rsidRPr="00E61ABE" w:rsidRDefault="00B77200"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77200" w:rsidRPr="00E61ABE" w:rsidTr="00B77200">
        <w:trPr>
          <w:tblCellSpacing w:w="15" w:type="dxa"/>
        </w:trPr>
        <w:tc>
          <w:tcPr>
            <w:tcW w:w="0" w:type="auto"/>
            <w:vAlign w:val="center"/>
            <w:hideMark/>
          </w:tcPr>
          <w:p w:rsidR="00B77200" w:rsidRPr="00E61ABE" w:rsidRDefault="00B77200"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č:1273</w:t>
            </w:r>
          </w:p>
        </w:tc>
      </w:tr>
      <w:tr w:rsidR="00B77200" w:rsidRPr="00E61ABE" w:rsidTr="00B77200">
        <w:trPr>
          <w:tblCellSpacing w:w="15" w:type="dxa"/>
        </w:trPr>
        <w:tc>
          <w:tcPr>
            <w:tcW w:w="0" w:type="auto"/>
            <w:vAlign w:val="center"/>
            <w:hideMark/>
          </w:tcPr>
          <w:p w:rsidR="00B77200" w:rsidRPr="00E61ABE" w:rsidRDefault="00B77200"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Myslivost: informace o využívání přírodního bohatství</w:t>
            </w:r>
            <w:r w:rsidRPr="00E61ABE">
              <w:rPr>
                <w:rFonts w:ascii="Garamond" w:eastAsia="Times New Roman" w:hAnsi="Garamond" w:cs="Arial"/>
                <w:b/>
                <w:bCs/>
                <w:sz w:val="20"/>
                <w:szCs w:val="20"/>
                <w:lang w:eastAsia="cs-CZ"/>
              </w:rPr>
              <w:br/>
              <w:t>Právo na informace o životním prostředí</w:t>
            </w:r>
          </w:p>
        </w:tc>
      </w:tr>
      <w:tr w:rsidR="00B77200" w:rsidRPr="00E61ABE" w:rsidTr="00B77200">
        <w:trPr>
          <w:tblCellSpacing w:w="15" w:type="dxa"/>
        </w:trPr>
        <w:tc>
          <w:tcPr>
            <w:tcW w:w="0" w:type="auto"/>
            <w:vAlign w:val="center"/>
            <w:hideMark/>
          </w:tcPr>
          <w:p w:rsidR="00837C05" w:rsidRDefault="00B77200"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Informace o stavech spárkaté zvěře v jednotlivých honitbách nejsou individuálními údaji ve smyslu § 2 odst. 1 zákona č. 89/1995 Sb., o státní statistické službě, neboť se jedná o informace o využívání přírodního bohatství [§ 2 písm. b) zákona č. 449/2001 Sb., o myslivosti], které nemají vypovídací hodnotu o majetkových poměrech jednotlivých vlastníků pozemků tvořících honitbu. Poskytnutí takových informací není zásahem do vlastnických práv.</w:t>
            </w:r>
            <w:r w:rsidRPr="00E61ABE">
              <w:rPr>
                <w:rFonts w:ascii="Garamond" w:eastAsia="Times New Roman" w:hAnsi="Garamond" w:cs="Arial"/>
                <w:sz w:val="20"/>
                <w:szCs w:val="20"/>
                <w:lang w:eastAsia="cs-CZ"/>
              </w:rPr>
              <w:br/>
              <w:t>II. Informace o stavech spárkaté zvěře v jednotlivých honitbách nelze odepřít podle § 8 odst. 1 písm. b) zákona č.</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123/1998 Sb., o právu na informace o životním prostředí, neboť by tak bylo porušeno právo zaručené článkem 35 odst. 2 Listiny základních práv a svobod.</w:t>
            </w:r>
          </w:p>
          <w:p w:rsidR="00B77200" w:rsidRPr="00E61ABE" w:rsidRDefault="00B77200"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Krajského soudu v Ostravě ze dne 24. 11. 2005,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22 Ca 442/2003-30)</w:t>
            </w:r>
          </w:p>
        </w:tc>
      </w:tr>
    </w:tbl>
    <w:p w:rsidR="00830D05" w:rsidRPr="00E61ABE" w:rsidRDefault="00830D05"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77200" w:rsidRPr="00E61ABE" w:rsidTr="00B77200">
        <w:trPr>
          <w:tblCellSpacing w:w="15" w:type="dxa"/>
        </w:trPr>
        <w:tc>
          <w:tcPr>
            <w:tcW w:w="0" w:type="auto"/>
            <w:vAlign w:val="center"/>
            <w:hideMark/>
          </w:tcPr>
          <w:p w:rsidR="00B77200" w:rsidRPr="00E61ABE" w:rsidRDefault="00C25628" w:rsidP="00E61ABE">
            <w:pPr>
              <w:spacing w:after="0" w:line="240" w:lineRule="auto"/>
              <w:rPr>
                <w:rFonts w:ascii="Garamond" w:eastAsia="Times New Roman" w:hAnsi="Garamond" w:cs="Arial"/>
                <w:sz w:val="20"/>
                <w:szCs w:val="20"/>
                <w:lang w:eastAsia="cs-CZ"/>
              </w:rPr>
            </w:pPr>
            <w:hyperlink r:id="rId41" w:history="1">
              <w:r w:rsidR="00B77200" w:rsidRPr="00E61ABE">
                <w:rPr>
                  <w:rFonts w:ascii="Garamond" w:eastAsia="Times New Roman" w:hAnsi="Garamond" w:cs="Arial"/>
                  <w:sz w:val="20"/>
                  <w:szCs w:val="20"/>
                  <w:u w:val="single"/>
                  <w:lang w:eastAsia="cs-CZ"/>
                </w:rPr>
                <w:t>Číslo: 8/2007</w:t>
              </w:r>
            </w:hyperlink>
            <w:r w:rsidR="00B77200" w:rsidRPr="00E61ABE">
              <w:rPr>
                <w:rFonts w:ascii="Garamond" w:eastAsia="Times New Roman" w:hAnsi="Garamond" w:cs="Arial"/>
                <w:sz w:val="20"/>
                <w:szCs w:val="20"/>
                <w:lang w:eastAsia="cs-CZ"/>
              </w:rPr>
              <w:t> </w:t>
            </w:r>
            <w:r w:rsidR="00B77200" w:rsidRPr="00E61ABE">
              <w:rPr>
                <w:rFonts w:ascii="Garamond" w:eastAsia="Times New Roman" w:hAnsi="Garamond" w:cs="Arial"/>
                <w:sz w:val="20"/>
                <w:szCs w:val="20"/>
                <w:lang w:eastAsia="cs-CZ"/>
              </w:rPr>
              <w:br/>
              <w:t>Ročník: 5</w:t>
            </w:r>
          </w:p>
        </w:tc>
      </w:tr>
    </w:tbl>
    <w:p w:rsidR="00B77200" w:rsidRPr="00E61ABE" w:rsidRDefault="00B77200"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77200" w:rsidRPr="00E61ABE" w:rsidTr="00B77200">
        <w:trPr>
          <w:tblCellSpacing w:w="15" w:type="dxa"/>
        </w:trPr>
        <w:tc>
          <w:tcPr>
            <w:tcW w:w="0" w:type="auto"/>
            <w:vAlign w:val="center"/>
            <w:hideMark/>
          </w:tcPr>
          <w:p w:rsidR="00B77200" w:rsidRPr="00E61ABE" w:rsidRDefault="00B77200"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č:1272</w:t>
            </w:r>
          </w:p>
        </w:tc>
      </w:tr>
      <w:tr w:rsidR="00B77200" w:rsidRPr="00E61ABE" w:rsidTr="00B77200">
        <w:trPr>
          <w:tblCellSpacing w:w="15" w:type="dxa"/>
        </w:trPr>
        <w:tc>
          <w:tcPr>
            <w:tcW w:w="0" w:type="auto"/>
            <w:vAlign w:val="center"/>
            <w:hideMark/>
          </w:tcPr>
          <w:p w:rsidR="00B77200" w:rsidRPr="00E61ABE" w:rsidRDefault="00B77200"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informační povinnost veřejných zdravotních pojišťoven</w:t>
            </w:r>
          </w:p>
        </w:tc>
      </w:tr>
      <w:tr w:rsidR="00B77200" w:rsidRPr="00E61ABE" w:rsidTr="00B77200">
        <w:trPr>
          <w:tblCellSpacing w:w="15" w:type="dxa"/>
        </w:trPr>
        <w:tc>
          <w:tcPr>
            <w:tcW w:w="0" w:type="auto"/>
            <w:vAlign w:val="center"/>
            <w:hideMark/>
          </w:tcPr>
          <w:p w:rsidR="00837C05" w:rsidRDefault="00B77200"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Všeobecná zdravotní pojišťovna je podle zákona č. 106/1999 Sb., o svobodném přístupu k informacím, subjektem s informační povinností, neboť prostředky, které jsou získávány v systému zdravotního pojištění, mají charakter veřejných prostředků a slouží k úhradě zdravotní péče, která má charakter veřejné služby.</w:t>
            </w:r>
            <w:r w:rsidRPr="00E61ABE">
              <w:rPr>
                <w:rFonts w:ascii="Garamond" w:eastAsia="Times New Roman" w:hAnsi="Garamond" w:cs="Arial"/>
                <w:sz w:val="20"/>
                <w:szCs w:val="20"/>
                <w:lang w:eastAsia="cs-CZ"/>
              </w:rPr>
              <w:br/>
              <w:t>II. Údaje o platbách poskytnutých Všeobecnou zdravotní pojišťovnou jejím jednotlivým smluvním zdravotnickým zařízením nepředstavují informaci, jejíž neposkytnutí by bylo možné odůvodnit odkazem na ochranu informací o</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majetkových poměrech těchto zařízení podle § 10 zákona č. 106/1999 Sb., o svobodném přístupu k informacím, neboť představují pouze dílčí informace o příjmech těchto zařízení (přičemž zdravotnická zařízení mají příjmy i</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od</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jiných zdravotních pojišťoven, tyto údaje navíc nezahrnují náklady a výdaje na zdravotnický materiál, zaměstnance, provoz atd.), poskytnutí informací nebrání ani obsah rámcových a individuálních smluv, povinnost mlčenlivosti podle zákona ČNR č. 592/1992 Sb., o pojistném na všeobecné zdravotní pojištění, a nejedná se ani o</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obchodní tajemství podle § 9 zákona č. 106/1999 Sb., o svobodném přístupu k informacím.</w:t>
            </w:r>
          </w:p>
          <w:p w:rsidR="00B77200" w:rsidRPr="00E61ABE" w:rsidRDefault="00B77200"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16. 5. 2007,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xml:space="preserve">. 3 </w:t>
            </w:r>
            <w:proofErr w:type="spellStart"/>
            <w:r w:rsidRPr="00E61ABE">
              <w:rPr>
                <w:rFonts w:ascii="Garamond" w:eastAsia="Times New Roman" w:hAnsi="Garamond" w:cs="Arial"/>
                <w:sz w:val="20"/>
                <w:szCs w:val="20"/>
                <w:lang w:eastAsia="cs-CZ"/>
              </w:rPr>
              <w:t>Ads</w:t>
            </w:r>
            <w:proofErr w:type="spellEnd"/>
            <w:r w:rsidRPr="00E61ABE">
              <w:rPr>
                <w:rFonts w:ascii="Garamond" w:eastAsia="Times New Roman" w:hAnsi="Garamond" w:cs="Arial"/>
                <w:sz w:val="20"/>
                <w:szCs w:val="20"/>
                <w:lang w:eastAsia="cs-CZ"/>
              </w:rPr>
              <w:t xml:space="preserve"> 33/2006-57)</w:t>
            </w:r>
          </w:p>
        </w:tc>
      </w:tr>
    </w:tbl>
    <w:p w:rsidR="00B77200" w:rsidRPr="00E61ABE" w:rsidRDefault="00B77200"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77200" w:rsidRPr="00E61ABE" w:rsidTr="00B77200">
        <w:trPr>
          <w:tblCellSpacing w:w="15" w:type="dxa"/>
        </w:trPr>
        <w:tc>
          <w:tcPr>
            <w:tcW w:w="0" w:type="auto"/>
            <w:vAlign w:val="center"/>
            <w:hideMark/>
          </w:tcPr>
          <w:p w:rsidR="00B77200" w:rsidRPr="00E61ABE" w:rsidRDefault="00C25628" w:rsidP="00E61ABE">
            <w:pPr>
              <w:spacing w:after="0" w:line="240" w:lineRule="auto"/>
              <w:rPr>
                <w:rFonts w:ascii="Garamond" w:eastAsia="Times New Roman" w:hAnsi="Garamond" w:cs="Arial"/>
                <w:sz w:val="20"/>
                <w:szCs w:val="20"/>
                <w:lang w:eastAsia="cs-CZ"/>
              </w:rPr>
            </w:pPr>
            <w:hyperlink r:id="rId42" w:history="1">
              <w:r w:rsidR="00B77200" w:rsidRPr="00E61ABE">
                <w:rPr>
                  <w:rFonts w:ascii="Garamond" w:eastAsia="Times New Roman" w:hAnsi="Garamond" w:cs="Arial"/>
                  <w:sz w:val="20"/>
                  <w:szCs w:val="20"/>
                  <w:u w:val="single"/>
                  <w:lang w:eastAsia="cs-CZ"/>
                </w:rPr>
                <w:t>Číslo: 8/2007</w:t>
              </w:r>
            </w:hyperlink>
            <w:r w:rsidR="00B77200" w:rsidRPr="00E61ABE">
              <w:rPr>
                <w:rFonts w:ascii="Garamond" w:eastAsia="Times New Roman" w:hAnsi="Garamond" w:cs="Arial"/>
                <w:sz w:val="20"/>
                <w:szCs w:val="20"/>
                <w:lang w:eastAsia="cs-CZ"/>
              </w:rPr>
              <w:t> </w:t>
            </w:r>
            <w:r w:rsidR="00B77200" w:rsidRPr="00E61ABE">
              <w:rPr>
                <w:rFonts w:ascii="Garamond" w:eastAsia="Times New Roman" w:hAnsi="Garamond" w:cs="Arial"/>
                <w:sz w:val="20"/>
                <w:szCs w:val="20"/>
                <w:lang w:eastAsia="cs-CZ"/>
              </w:rPr>
              <w:br/>
              <w:t>Ročník: 5</w:t>
            </w:r>
          </w:p>
        </w:tc>
      </w:tr>
    </w:tbl>
    <w:p w:rsidR="00B77200" w:rsidRPr="00E61ABE" w:rsidRDefault="00B77200"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77200" w:rsidRPr="00E61ABE" w:rsidTr="00B77200">
        <w:trPr>
          <w:tblCellSpacing w:w="15" w:type="dxa"/>
        </w:trPr>
        <w:tc>
          <w:tcPr>
            <w:tcW w:w="0" w:type="auto"/>
            <w:vAlign w:val="center"/>
            <w:hideMark/>
          </w:tcPr>
          <w:p w:rsidR="00B77200" w:rsidRPr="00E61ABE" w:rsidRDefault="00B77200"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č:1271</w:t>
            </w:r>
          </w:p>
        </w:tc>
      </w:tr>
      <w:tr w:rsidR="00B77200" w:rsidRPr="00E61ABE" w:rsidTr="00B77200">
        <w:trPr>
          <w:tblCellSpacing w:w="15" w:type="dxa"/>
        </w:trPr>
        <w:tc>
          <w:tcPr>
            <w:tcW w:w="0" w:type="auto"/>
            <w:vAlign w:val="center"/>
            <w:hideMark/>
          </w:tcPr>
          <w:p w:rsidR="00B77200" w:rsidRPr="00E61ABE" w:rsidRDefault="00B77200"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povinnost předat informace povinnému subjektu</w:t>
            </w:r>
          </w:p>
        </w:tc>
      </w:tr>
      <w:tr w:rsidR="00B77200" w:rsidRPr="00E61ABE" w:rsidTr="00B77200">
        <w:trPr>
          <w:tblCellSpacing w:w="15" w:type="dxa"/>
        </w:trPr>
        <w:tc>
          <w:tcPr>
            <w:tcW w:w="0" w:type="auto"/>
            <w:vAlign w:val="center"/>
            <w:hideMark/>
          </w:tcPr>
          <w:p w:rsidR="00837C05" w:rsidRDefault="00B77200"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Ustanovení § 11 odst. 2 písm. a) zákona č. 106/1999 Sb., o svobodném přístupu k informacím, stanoví, že povinný subjekt neposkytne informaci, která byla předána osobou, jíž takovouto povinnost zákon neukládá, pokud nesdělila, že s poskytnutím informace souhlasí. Zmíněnou povinností dotčené osoby uloženou zákonem je nutno chápat povinnost předat informace povinnému subjektu podle zvláštního zákona, nikoliv povinnost poskytovat informace podle zákona č. 106/1999 Sb., o svobodném přístupu k informacím.</w:t>
            </w:r>
          </w:p>
          <w:p w:rsidR="00B77200" w:rsidRPr="00E61ABE" w:rsidRDefault="00B77200"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26. 4. 2007,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6 As 15/2006-113) </w:t>
            </w:r>
          </w:p>
        </w:tc>
      </w:tr>
    </w:tbl>
    <w:p w:rsidR="00B77200" w:rsidRPr="00E61ABE" w:rsidRDefault="00B77200"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692D92" w:rsidRPr="00E61ABE" w:rsidTr="00692D92">
        <w:trPr>
          <w:tblCellSpacing w:w="15" w:type="dxa"/>
        </w:trPr>
        <w:tc>
          <w:tcPr>
            <w:tcW w:w="0" w:type="auto"/>
            <w:vAlign w:val="center"/>
            <w:hideMark/>
          </w:tcPr>
          <w:p w:rsidR="00692D92" w:rsidRPr="00E61ABE" w:rsidRDefault="00C25628" w:rsidP="00E61ABE">
            <w:pPr>
              <w:spacing w:after="0" w:line="240" w:lineRule="auto"/>
              <w:rPr>
                <w:rFonts w:ascii="Garamond" w:eastAsia="Times New Roman" w:hAnsi="Garamond" w:cs="Arial"/>
                <w:sz w:val="20"/>
                <w:szCs w:val="20"/>
                <w:lang w:eastAsia="cs-CZ"/>
              </w:rPr>
            </w:pPr>
            <w:hyperlink r:id="rId43" w:history="1">
              <w:r w:rsidR="00692D92" w:rsidRPr="00E61ABE">
                <w:rPr>
                  <w:rFonts w:ascii="Garamond" w:eastAsia="Times New Roman" w:hAnsi="Garamond" w:cs="Arial"/>
                  <w:sz w:val="20"/>
                  <w:szCs w:val="20"/>
                  <w:u w:val="single"/>
                  <w:lang w:eastAsia="cs-CZ"/>
                </w:rPr>
                <w:t>Číslo: 8/2007</w:t>
              </w:r>
            </w:hyperlink>
            <w:r w:rsidR="00692D92" w:rsidRPr="00E61ABE">
              <w:rPr>
                <w:rFonts w:ascii="Garamond" w:eastAsia="Times New Roman" w:hAnsi="Garamond" w:cs="Arial"/>
                <w:sz w:val="20"/>
                <w:szCs w:val="20"/>
                <w:lang w:eastAsia="cs-CZ"/>
              </w:rPr>
              <w:t> </w:t>
            </w:r>
            <w:r w:rsidR="00692D92" w:rsidRPr="00E61ABE">
              <w:rPr>
                <w:rFonts w:ascii="Garamond" w:eastAsia="Times New Roman" w:hAnsi="Garamond" w:cs="Arial"/>
                <w:sz w:val="20"/>
                <w:szCs w:val="20"/>
                <w:lang w:eastAsia="cs-CZ"/>
              </w:rPr>
              <w:br/>
              <w:t>Ročník: 5</w:t>
            </w:r>
          </w:p>
        </w:tc>
      </w:tr>
    </w:tbl>
    <w:p w:rsidR="00692D92" w:rsidRPr="00E61ABE" w:rsidRDefault="00692D92"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692D92" w:rsidRPr="00E61ABE" w:rsidTr="00692D92">
        <w:trPr>
          <w:tblCellSpacing w:w="15" w:type="dxa"/>
        </w:trPr>
        <w:tc>
          <w:tcPr>
            <w:tcW w:w="0" w:type="auto"/>
            <w:vAlign w:val="center"/>
            <w:hideMark/>
          </w:tcPr>
          <w:p w:rsidR="00692D92" w:rsidRPr="00E61ABE" w:rsidRDefault="00692D92"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č:1270</w:t>
            </w:r>
          </w:p>
        </w:tc>
      </w:tr>
      <w:tr w:rsidR="00692D92" w:rsidRPr="00E61ABE" w:rsidTr="00692D92">
        <w:trPr>
          <w:tblCellSpacing w:w="15" w:type="dxa"/>
        </w:trPr>
        <w:tc>
          <w:tcPr>
            <w:tcW w:w="0" w:type="auto"/>
            <w:vAlign w:val="center"/>
            <w:hideMark/>
          </w:tcPr>
          <w:p w:rsidR="00692D92" w:rsidRPr="00E61ABE" w:rsidRDefault="00692D92"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rozhodovací činnost soudů</w:t>
            </w:r>
          </w:p>
        </w:tc>
      </w:tr>
      <w:tr w:rsidR="00692D92" w:rsidRPr="00E61ABE" w:rsidTr="00692D92">
        <w:trPr>
          <w:tblCellSpacing w:w="15" w:type="dxa"/>
        </w:trPr>
        <w:tc>
          <w:tcPr>
            <w:tcW w:w="0" w:type="auto"/>
            <w:vAlign w:val="center"/>
            <w:hideMark/>
          </w:tcPr>
          <w:p w:rsidR="00837C05" w:rsidRDefault="00692D92"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 xml:space="preserve">Požadavek na poskytnutí anonymizovaných pravomocných rozsudků ve věcech určitého druhu nemůže být </w:t>
            </w:r>
            <w:r w:rsidRPr="00E61ABE">
              <w:rPr>
                <w:rFonts w:ascii="Garamond" w:eastAsia="Times New Roman" w:hAnsi="Garamond" w:cs="Arial"/>
                <w:sz w:val="20"/>
                <w:szCs w:val="20"/>
                <w:lang w:eastAsia="cs-CZ"/>
              </w:rPr>
              <w:lastRenderedPageBreak/>
              <w:t>odmítnut obecně s tím, že jde o informace o „rozhodovací činnosti soudů“ ve smyslu § 11 odst. 4 písm. b) zákona č.</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106/1999 Sb., o svobodném přístupu k informacím, neboť takový výklad tohoto pojmu je výkladem nepřípustně rozšiřujícím. Vždy je nutno jednoznačně zjistit nezbytnost a konkrétní důvod vedoucí k omezení práva na takovouto informaci a posoudit, zda by omezením tohoto práva nedošlo k nepřiměřenému ohrožení zájmů chráněných jinými předpisy či zásahu do práv jiných osob. V tomto smyslu zavazuje povinné subjekty § 12 zákona č. 106/1999 Sb., o</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svobodném přístupu k informacím.</w:t>
            </w:r>
          </w:p>
          <w:p w:rsidR="00692D92" w:rsidRPr="00E61ABE" w:rsidRDefault="00692D92"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Městského soudu v Praze ze dne 23. 2. 2007,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10 Ca 144/2005-37) </w:t>
            </w:r>
          </w:p>
        </w:tc>
      </w:tr>
    </w:tbl>
    <w:p w:rsidR="00692D92" w:rsidRPr="00E61ABE" w:rsidRDefault="00692D92"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692D92" w:rsidRPr="00E61ABE" w:rsidTr="00692D92">
        <w:trPr>
          <w:tblCellSpacing w:w="15" w:type="dxa"/>
        </w:trPr>
        <w:tc>
          <w:tcPr>
            <w:tcW w:w="0" w:type="auto"/>
            <w:vAlign w:val="center"/>
            <w:hideMark/>
          </w:tcPr>
          <w:p w:rsidR="00692D92" w:rsidRPr="00E61ABE" w:rsidRDefault="00C25628" w:rsidP="00E61ABE">
            <w:pPr>
              <w:spacing w:after="0" w:line="240" w:lineRule="auto"/>
              <w:rPr>
                <w:rFonts w:ascii="Garamond" w:eastAsia="Times New Roman" w:hAnsi="Garamond" w:cs="Arial"/>
                <w:sz w:val="20"/>
                <w:szCs w:val="20"/>
                <w:highlight w:val="yellow"/>
                <w:lang w:eastAsia="cs-CZ"/>
              </w:rPr>
            </w:pPr>
            <w:hyperlink r:id="rId44" w:history="1">
              <w:r w:rsidR="00692D92" w:rsidRPr="00E61ABE">
                <w:rPr>
                  <w:rFonts w:ascii="Garamond" w:eastAsia="Times New Roman" w:hAnsi="Garamond" w:cs="Arial"/>
                  <w:sz w:val="20"/>
                  <w:szCs w:val="20"/>
                  <w:highlight w:val="yellow"/>
                  <w:u w:val="single"/>
                  <w:lang w:eastAsia="cs-CZ"/>
                </w:rPr>
                <w:t>Číslo: 7/2007</w:t>
              </w:r>
            </w:hyperlink>
            <w:r w:rsidR="00692D92" w:rsidRPr="00E61ABE">
              <w:rPr>
                <w:rFonts w:ascii="Garamond" w:eastAsia="Times New Roman" w:hAnsi="Garamond" w:cs="Arial"/>
                <w:sz w:val="20"/>
                <w:szCs w:val="20"/>
                <w:highlight w:val="yellow"/>
                <w:lang w:eastAsia="cs-CZ"/>
              </w:rPr>
              <w:t> </w:t>
            </w:r>
            <w:r w:rsidR="00692D92" w:rsidRPr="00E61ABE">
              <w:rPr>
                <w:rFonts w:ascii="Garamond" w:eastAsia="Times New Roman" w:hAnsi="Garamond" w:cs="Arial"/>
                <w:sz w:val="20"/>
                <w:szCs w:val="20"/>
                <w:highlight w:val="yellow"/>
                <w:lang w:eastAsia="cs-CZ"/>
              </w:rPr>
              <w:br/>
              <w:t>Ročník: 5</w:t>
            </w:r>
          </w:p>
        </w:tc>
      </w:tr>
    </w:tbl>
    <w:p w:rsidR="00692D92" w:rsidRPr="00E61ABE" w:rsidRDefault="00692D92" w:rsidP="00E61ABE">
      <w:pPr>
        <w:spacing w:after="0" w:line="240" w:lineRule="auto"/>
        <w:rPr>
          <w:rFonts w:ascii="Garamond" w:eastAsia="Times New Roman" w:hAnsi="Garamond"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tblPr>
      <w:tblGrid>
        <w:gridCol w:w="9162"/>
      </w:tblGrid>
      <w:tr w:rsidR="00692D92" w:rsidRPr="00E61ABE" w:rsidTr="00692D92">
        <w:trPr>
          <w:tblCellSpacing w:w="15" w:type="dxa"/>
        </w:trPr>
        <w:tc>
          <w:tcPr>
            <w:tcW w:w="0" w:type="auto"/>
            <w:vAlign w:val="center"/>
            <w:hideMark/>
          </w:tcPr>
          <w:p w:rsidR="00692D92" w:rsidRPr="00E61ABE" w:rsidRDefault="00692D92"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Rozhodnutí č:1231</w:t>
            </w:r>
          </w:p>
        </w:tc>
      </w:tr>
      <w:tr w:rsidR="00692D92" w:rsidRPr="00E61ABE" w:rsidTr="00692D92">
        <w:trPr>
          <w:tblCellSpacing w:w="15" w:type="dxa"/>
        </w:trPr>
        <w:tc>
          <w:tcPr>
            <w:tcW w:w="0" w:type="auto"/>
            <w:vAlign w:val="center"/>
            <w:hideMark/>
          </w:tcPr>
          <w:p w:rsidR="00692D92" w:rsidRPr="00E61ABE" w:rsidRDefault="00692D92"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b/>
                <w:bCs/>
                <w:sz w:val="20"/>
                <w:szCs w:val="20"/>
                <w:highlight w:val="yellow"/>
                <w:lang w:eastAsia="cs-CZ"/>
              </w:rPr>
              <w:t>Právo na informace: fiktivní rozhodnutí</w:t>
            </w:r>
          </w:p>
        </w:tc>
      </w:tr>
      <w:tr w:rsidR="00692D92" w:rsidRPr="00E61ABE" w:rsidTr="00692D92">
        <w:trPr>
          <w:tblCellSpacing w:w="15" w:type="dxa"/>
        </w:trPr>
        <w:tc>
          <w:tcPr>
            <w:tcW w:w="0" w:type="auto"/>
            <w:vAlign w:val="center"/>
            <w:hideMark/>
          </w:tcPr>
          <w:p w:rsidR="00837C05" w:rsidRDefault="00692D92" w:rsidP="00837C05">
            <w:pPr>
              <w:spacing w:after="0" w:line="240" w:lineRule="auto"/>
              <w:jc w:val="both"/>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Zákonná fikce o vydání rozhodnutí o odepření informací podle § 15 odst. 4 zákona č. 106/1999 Sb., o svobodném přístupu k informacím, se z povahy věci nemůže uplatnit poté, co bylo předchozí negativní fiktivní rozhodnutí zrušeno správním soudem.</w:t>
            </w:r>
          </w:p>
          <w:p w:rsidR="00692D92" w:rsidRPr="00E61ABE" w:rsidRDefault="00692D92"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highlight w:val="yellow"/>
                <w:lang w:eastAsia="cs-CZ"/>
              </w:rPr>
              <w:br/>
              <w:t xml:space="preserve">(Podle rozsudku Krajského soudu v Ostravě ze dne 15. 2. 2007, </w:t>
            </w:r>
            <w:proofErr w:type="spellStart"/>
            <w:r w:rsidRPr="00E61ABE">
              <w:rPr>
                <w:rFonts w:ascii="Garamond" w:eastAsia="Times New Roman" w:hAnsi="Garamond" w:cs="Arial"/>
                <w:sz w:val="20"/>
                <w:szCs w:val="20"/>
                <w:highlight w:val="yellow"/>
                <w:lang w:eastAsia="cs-CZ"/>
              </w:rPr>
              <w:t>čj</w:t>
            </w:r>
            <w:proofErr w:type="spellEnd"/>
            <w:r w:rsidRPr="00E61ABE">
              <w:rPr>
                <w:rFonts w:ascii="Garamond" w:eastAsia="Times New Roman" w:hAnsi="Garamond" w:cs="Arial"/>
                <w:sz w:val="20"/>
                <w:szCs w:val="20"/>
                <w:highlight w:val="yellow"/>
                <w:lang w:eastAsia="cs-CZ"/>
              </w:rPr>
              <w:t>. 22 Ca 258/2005-52)</w:t>
            </w:r>
          </w:p>
        </w:tc>
      </w:tr>
    </w:tbl>
    <w:p w:rsidR="00692D92" w:rsidRPr="00E61ABE" w:rsidRDefault="00692D92"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C41291" w:rsidRPr="00E61ABE" w:rsidTr="00C41291">
        <w:trPr>
          <w:tblCellSpacing w:w="15" w:type="dxa"/>
        </w:trPr>
        <w:tc>
          <w:tcPr>
            <w:tcW w:w="0" w:type="auto"/>
            <w:vAlign w:val="center"/>
            <w:hideMark/>
          </w:tcPr>
          <w:p w:rsidR="00C41291" w:rsidRPr="00E61ABE" w:rsidRDefault="00C25628" w:rsidP="00E61ABE">
            <w:pPr>
              <w:spacing w:after="0" w:line="240" w:lineRule="auto"/>
              <w:rPr>
                <w:rFonts w:ascii="Garamond" w:eastAsia="Times New Roman" w:hAnsi="Garamond" w:cs="Arial"/>
                <w:sz w:val="20"/>
                <w:szCs w:val="20"/>
                <w:lang w:eastAsia="cs-CZ"/>
              </w:rPr>
            </w:pPr>
            <w:hyperlink r:id="rId45" w:history="1">
              <w:r w:rsidR="00C41291" w:rsidRPr="00E61ABE">
                <w:rPr>
                  <w:rFonts w:ascii="Garamond" w:eastAsia="Times New Roman" w:hAnsi="Garamond" w:cs="Arial"/>
                  <w:sz w:val="20"/>
                  <w:szCs w:val="20"/>
                  <w:u w:val="single"/>
                  <w:lang w:eastAsia="cs-CZ"/>
                </w:rPr>
                <w:t>Číslo: 5/2007</w:t>
              </w:r>
            </w:hyperlink>
            <w:r w:rsidR="00C41291" w:rsidRPr="00E61ABE">
              <w:rPr>
                <w:rFonts w:ascii="Garamond" w:eastAsia="Times New Roman" w:hAnsi="Garamond" w:cs="Arial"/>
                <w:sz w:val="20"/>
                <w:szCs w:val="20"/>
                <w:lang w:eastAsia="cs-CZ"/>
              </w:rPr>
              <w:t> </w:t>
            </w:r>
            <w:r w:rsidR="00C41291" w:rsidRPr="00E61ABE">
              <w:rPr>
                <w:rFonts w:ascii="Garamond" w:eastAsia="Times New Roman" w:hAnsi="Garamond" w:cs="Arial"/>
                <w:sz w:val="20"/>
                <w:szCs w:val="20"/>
                <w:lang w:eastAsia="cs-CZ"/>
              </w:rPr>
              <w:br/>
              <w:t>Ročník: 5</w:t>
            </w:r>
          </w:p>
        </w:tc>
      </w:tr>
    </w:tbl>
    <w:p w:rsidR="00C41291" w:rsidRPr="00E61ABE" w:rsidRDefault="00C41291"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17"/>
        <w:gridCol w:w="45"/>
      </w:tblGrid>
      <w:tr w:rsidR="00C41291" w:rsidRPr="00E61ABE" w:rsidTr="00C41291">
        <w:trPr>
          <w:tblCellSpacing w:w="15" w:type="dxa"/>
        </w:trPr>
        <w:tc>
          <w:tcPr>
            <w:tcW w:w="0" w:type="auto"/>
            <w:gridSpan w:val="2"/>
            <w:vAlign w:val="center"/>
            <w:hideMark/>
          </w:tcPr>
          <w:p w:rsidR="00C41291" w:rsidRPr="00E61ABE" w:rsidRDefault="00C41291"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č:1152</w:t>
            </w:r>
          </w:p>
        </w:tc>
      </w:tr>
      <w:tr w:rsidR="00C41291" w:rsidRPr="00E61ABE" w:rsidTr="00C41291">
        <w:trPr>
          <w:tblCellSpacing w:w="15" w:type="dxa"/>
        </w:trPr>
        <w:tc>
          <w:tcPr>
            <w:tcW w:w="0" w:type="auto"/>
            <w:gridSpan w:val="2"/>
            <w:vAlign w:val="center"/>
            <w:hideMark/>
          </w:tcPr>
          <w:p w:rsidR="00C41291" w:rsidRPr="00E61ABE" w:rsidRDefault="00C41291"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Správní řízení: účastenství spolků </w:t>
            </w:r>
            <w:r w:rsidRPr="00E61ABE">
              <w:rPr>
                <w:rFonts w:ascii="Garamond" w:eastAsia="Times New Roman" w:hAnsi="Garamond" w:cs="Arial"/>
                <w:b/>
                <w:bCs/>
                <w:sz w:val="20"/>
                <w:szCs w:val="20"/>
                <w:lang w:eastAsia="cs-CZ"/>
              </w:rPr>
              <w:br/>
              <w:t>Právo na informace: řízení o odvolání</w:t>
            </w:r>
          </w:p>
        </w:tc>
      </w:tr>
      <w:tr w:rsidR="00C41291" w:rsidRPr="00E61ABE" w:rsidTr="00C41291">
        <w:trPr>
          <w:tblCellSpacing w:w="15" w:type="dxa"/>
        </w:trPr>
        <w:tc>
          <w:tcPr>
            <w:tcW w:w="0" w:type="auto"/>
            <w:gridSpan w:val="2"/>
            <w:vAlign w:val="center"/>
            <w:hideMark/>
          </w:tcPr>
          <w:p w:rsidR="00837C05" w:rsidRDefault="00C41291"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Správní orgán je povinen vypořádat se na počátku řízení nejprve s namítaným účastenstvím občanského sdružení nebo jeho organizační jednotky ve smyslu § 14 odst. 2 správního řádu z roku 1967, ve spojení s § 70 zákona č.</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114/1992 Sb., o ochraně přírody a krajiny.</w:t>
            </w:r>
          </w:p>
          <w:p w:rsidR="00837C05" w:rsidRDefault="00C41291"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Právo na svobodný přístup k informacím patří mezi základní práva chráněná Listinou základních práv a svobod a</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je mu poskytnuta odpovídající procesní ochrana, která je zajištěna právem podat odvolání, jakož i následným přístupem k soudu. V rámci odvolacího řízení je přitom s ohledem na § 16 ve spojení s § 20 odst. 4 zákona č.</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106/1999 Sb., o svobodném přístupu k informacím, nutno vyjít z podpůrného využití správního řádu; pokud odvolací orgán napadené rozhodnutí zruší, pak je povinen věc vrátit správnímu orgánu k novému projednání. Napadené rozhodnutí nelze toliko zrušit s tím, že pokud žadatel na poskytnutí požadovaných informací trvá, je třeba, aby podal novou žádost.</w:t>
            </w:r>
          </w:p>
          <w:p w:rsidR="00C41291" w:rsidRPr="00E61ABE" w:rsidRDefault="00C41291"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31. 1. 2007,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1 As 33/2006-48) </w:t>
            </w:r>
          </w:p>
        </w:tc>
      </w:tr>
      <w:tr w:rsidR="00C41291" w:rsidRPr="00E61ABE" w:rsidTr="00C41291">
        <w:trPr>
          <w:gridAfter w:val="1"/>
          <w:tblCellSpacing w:w="15" w:type="dxa"/>
        </w:trPr>
        <w:tc>
          <w:tcPr>
            <w:tcW w:w="0" w:type="auto"/>
            <w:vAlign w:val="center"/>
            <w:hideMark/>
          </w:tcPr>
          <w:p w:rsidR="00837C05" w:rsidRDefault="00837C05" w:rsidP="00E61ABE">
            <w:pPr>
              <w:spacing w:after="0" w:line="240" w:lineRule="auto"/>
            </w:pPr>
          </w:p>
          <w:p w:rsidR="00837C05" w:rsidRDefault="00837C05" w:rsidP="00E61ABE">
            <w:pPr>
              <w:spacing w:after="0" w:line="240" w:lineRule="auto"/>
            </w:pPr>
          </w:p>
          <w:p w:rsidR="00C41291" w:rsidRPr="00E61ABE" w:rsidRDefault="00C25628" w:rsidP="00E61ABE">
            <w:pPr>
              <w:spacing w:after="0" w:line="240" w:lineRule="auto"/>
              <w:rPr>
                <w:rFonts w:ascii="Garamond" w:eastAsia="Times New Roman" w:hAnsi="Garamond" w:cs="Arial"/>
                <w:sz w:val="20"/>
                <w:szCs w:val="20"/>
                <w:lang w:eastAsia="cs-CZ"/>
              </w:rPr>
            </w:pPr>
            <w:hyperlink r:id="rId46" w:history="1">
              <w:r w:rsidR="00C41291" w:rsidRPr="00E61ABE">
                <w:rPr>
                  <w:rFonts w:ascii="Garamond" w:eastAsia="Times New Roman" w:hAnsi="Garamond" w:cs="Arial"/>
                  <w:sz w:val="20"/>
                  <w:szCs w:val="20"/>
                  <w:u w:val="single"/>
                  <w:lang w:eastAsia="cs-CZ"/>
                </w:rPr>
                <w:t>Číslo: 3/2007</w:t>
              </w:r>
            </w:hyperlink>
            <w:r w:rsidR="00C41291" w:rsidRPr="00E61ABE">
              <w:rPr>
                <w:rFonts w:ascii="Garamond" w:eastAsia="Times New Roman" w:hAnsi="Garamond" w:cs="Arial"/>
                <w:sz w:val="20"/>
                <w:szCs w:val="20"/>
                <w:lang w:eastAsia="cs-CZ"/>
              </w:rPr>
              <w:t> </w:t>
            </w:r>
            <w:r w:rsidR="00C41291" w:rsidRPr="00E61ABE">
              <w:rPr>
                <w:rFonts w:ascii="Garamond" w:eastAsia="Times New Roman" w:hAnsi="Garamond" w:cs="Arial"/>
                <w:sz w:val="20"/>
                <w:szCs w:val="20"/>
                <w:lang w:eastAsia="cs-CZ"/>
              </w:rPr>
              <w:br/>
              <w:t>Ročník: 5</w:t>
            </w:r>
          </w:p>
        </w:tc>
      </w:tr>
    </w:tbl>
    <w:p w:rsidR="00C41291" w:rsidRPr="00E61ABE" w:rsidRDefault="00C41291"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C41291" w:rsidRPr="00E61ABE" w:rsidTr="00C41291">
        <w:trPr>
          <w:tblCellSpacing w:w="15" w:type="dxa"/>
        </w:trPr>
        <w:tc>
          <w:tcPr>
            <w:tcW w:w="0" w:type="auto"/>
            <w:vAlign w:val="center"/>
            <w:hideMark/>
          </w:tcPr>
          <w:p w:rsidR="00C41291" w:rsidRPr="00E61ABE" w:rsidRDefault="00C41291"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č:1106</w:t>
            </w:r>
          </w:p>
        </w:tc>
      </w:tr>
      <w:tr w:rsidR="00C41291" w:rsidRPr="00E61ABE" w:rsidTr="00C41291">
        <w:trPr>
          <w:tblCellSpacing w:w="15" w:type="dxa"/>
        </w:trPr>
        <w:tc>
          <w:tcPr>
            <w:tcW w:w="0" w:type="auto"/>
            <w:vAlign w:val="center"/>
            <w:hideMark/>
          </w:tcPr>
          <w:p w:rsidR="00C41291" w:rsidRPr="00E61ABE" w:rsidRDefault="00C41291"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o životním prostředí: Fond národního majetku České republiky jako povinná osoba</w:t>
            </w:r>
          </w:p>
        </w:tc>
      </w:tr>
      <w:tr w:rsidR="00C41291" w:rsidRPr="00E61ABE" w:rsidTr="00C41291">
        <w:trPr>
          <w:tblCellSpacing w:w="15" w:type="dxa"/>
        </w:trPr>
        <w:tc>
          <w:tcPr>
            <w:tcW w:w="0" w:type="auto"/>
            <w:vAlign w:val="center"/>
            <w:hideMark/>
          </w:tcPr>
          <w:p w:rsidR="00C41291" w:rsidRPr="00E61ABE" w:rsidRDefault="00C41291" w:rsidP="003216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Fond národního majetku České republiky je jakožto právnická osoba řízená orgánem státní správy (§ 1 zákona č.</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171/1991 Sb., o působnosti orgánů České republiky ve věcech převodů majetku státu na jiné osoby a o Fondu národního majetku České republiky) subjektem povinným k poskytování informací o životním prostředí ve smyslu § 2 písm. b) bodu 3 zákona č. 123/1998 Sb., o právu na informace o životním prostředí.</w:t>
            </w:r>
            <w:r w:rsidRPr="00E61ABE">
              <w:rPr>
                <w:rFonts w:ascii="Garamond" w:eastAsia="Times New Roman" w:hAnsi="Garamond" w:cs="Arial"/>
                <w:sz w:val="20"/>
                <w:szCs w:val="20"/>
                <w:lang w:eastAsia="cs-CZ"/>
              </w:rPr>
              <w:br/>
            </w:r>
            <w:r w:rsidRPr="00E61ABE">
              <w:rPr>
                <w:rFonts w:ascii="Garamond" w:eastAsia="Times New Roman" w:hAnsi="Garamond" w:cs="Arial"/>
                <w:sz w:val="20"/>
                <w:szCs w:val="20"/>
                <w:lang w:eastAsia="cs-CZ"/>
              </w:rPr>
              <w:br/>
              <w:t xml:space="preserve">(Podle rozsudku Nejvyššího správního soudu ze dne 27. 10. 2004,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5 As 46/2003-41) </w:t>
            </w:r>
          </w:p>
        </w:tc>
      </w:tr>
    </w:tbl>
    <w:p w:rsidR="00692D92" w:rsidRPr="00E61ABE" w:rsidRDefault="00692D92"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8E4BBB" w:rsidRPr="00E61ABE" w:rsidTr="008E4BBB">
        <w:trPr>
          <w:tblCellSpacing w:w="15" w:type="dxa"/>
        </w:trPr>
        <w:tc>
          <w:tcPr>
            <w:tcW w:w="0" w:type="auto"/>
            <w:vAlign w:val="center"/>
            <w:hideMark/>
          </w:tcPr>
          <w:p w:rsidR="008E4BBB" w:rsidRPr="00E61ABE" w:rsidRDefault="00C25628" w:rsidP="00E61ABE">
            <w:pPr>
              <w:spacing w:after="0" w:line="240" w:lineRule="auto"/>
              <w:rPr>
                <w:rFonts w:ascii="Garamond" w:eastAsia="Times New Roman" w:hAnsi="Garamond" w:cs="Arial"/>
                <w:sz w:val="20"/>
                <w:szCs w:val="20"/>
                <w:lang w:eastAsia="cs-CZ"/>
              </w:rPr>
            </w:pPr>
            <w:hyperlink r:id="rId47" w:history="1">
              <w:r w:rsidR="008E4BBB" w:rsidRPr="00E61ABE">
                <w:rPr>
                  <w:rFonts w:ascii="Garamond" w:eastAsia="Times New Roman" w:hAnsi="Garamond" w:cs="Arial"/>
                  <w:sz w:val="20"/>
                  <w:szCs w:val="20"/>
                  <w:u w:val="single"/>
                  <w:lang w:eastAsia="cs-CZ"/>
                </w:rPr>
                <w:t>Číslo: 9/2006</w:t>
              </w:r>
            </w:hyperlink>
            <w:r w:rsidR="008E4BBB" w:rsidRPr="00E61ABE">
              <w:rPr>
                <w:rFonts w:ascii="Garamond" w:eastAsia="Times New Roman" w:hAnsi="Garamond" w:cs="Arial"/>
                <w:sz w:val="20"/>
                <w:szCs w:val="20"/>
                <w:lang w:eastAsia="cs-CZ"/>
              </w:rPr>
              <w:t> </w:t>
            </w:r>
            <w:r w:rsidR="008E4BBB" w:rsidRPr="00E61ABE">
              <w:rPr>
                <w:rFonts w:ascii="Garamond" w:eastAsia="Times New Roman" w:hAnsi="Garamond" w:cs="Arial"/>
                <w:sz w:val="20"/>
                <w:szCs w:val="20"/>
                <w:lang w:eastAsia="cs-CZ"/>
              </w:rPr>
              <w:br/>
              <w:t>Ročník: 4</w:t>
            </w:r>
          </w:p>
        </w:tc>
      </w:tr>
    </w:tbl>
    <w:p w:rsidR="008E4BBB" w:rsidRPr="00E61ABE" w:rsidRDefault="008E4BBB"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8E4BBB" w:rsidRPr="00E61ABE" w:rsidTr="008E4BBB">
        <w:trPr>
          <w:tblCellSpacing w:w="15" w:type="dxa"/>
        </w:trPr>
        <w:tc>
          <w:tcPr>
            <w:tcW w:w="0" w:type="auto"/>
            <w:vAlign w:val="center"/>
            <w:hideMark/>
          </w:tcPr>
          <w:p w:rsidR="008E4BBB" w:rsidRPr="00E61ABE" w:rsidRDefault="008E4BBB"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č:928</w:t>
            </w:r>
          </w:p>
        </w:tc>
      </w:tr>
      <w:tr w:rsidR="008E4BBB" w:rsidRPr="00E61ABE" w:rsidTr="008E4BBB">
        <w:trPr>
          <w:tblCellSpacing w:w="15" w:type="dxa"/>
        </w:trPr>
        <w:tc>
          <w:tcPr>
            <w:tcW w:w="0" w:type="auto"/>
            <w:vAlign w:val="center"/>
            <w:hideMark/>
          </w:tcPr>
          <w:p w:rsidR="008E4BBB" w:rsidRPr="00E61ABE" w:rsidRDefault="008E4BBB"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Informace: k vnitřním pokynům a personálním předpisům</w:t>
            </w:r>
          </w:p>
        </w:tc>
      </w:tr>
      <w:tr w:rsidR="008E4BBB" w:rsidRPr="00E61ABE" w:rsidTr="008E4BBB">
        <w:trPr>
          <w:tblCellSpacing w:w="15" w:type="dxa"/>
        </w:trPr>
        <w:tc>
          <w:tcPr>
            <w:tcW w:w="0" w:type="auto"/>
            <w:vAlign w:val="center"/>
            <w:hideMark/>
          </w:tcPr>
          <w:p w:rsidR="00837C05" w:rsidRDefault="008E4BBB"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lastRenderedPageBreak/>
              <w:t>Předpis, který vymezuje působnost jednotlivých složek a pracovníků správního orgánu ve správním řízení, nelze považovat za výlučně vnitřní pokyn nebo personální předpis povinného subjektu dle § 11 odst. 1 písm. a) zákona č. 106/1999 Sb., o svobodném přístupu k informacím. Výkon veřejné správy je vždy činností orgánů veřejné moci navenek, ve vztahu k veřejnosti, k níž patří zejména rozhodování o právech a povinnostech osob. Je tudíž třeba, aby tato činnost byla prováděna transparentním způsobem a pod přiměřenou kontrolou veřejnosti.</w:t>
            </w:r>
          </w:p>
          <w:p w:rsidR="008E4BBB" w:rsidRPr="00E61ABE" w:rsidRDefault="008E4BBB"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Městského soudu v Praze ze dne 12. 4. 2006,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10 Ca 196/2004-41)</w:t>
            </w:r>
          </w:p>
        </w:tc>
      </w:tr>
    </w:tbl>
    <w:p w:rsidR="00C41291" w:rsidRPr="00E61ABE" w:rsidRDefault="00C41291"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8E4BBB" w:rsidRPr="00E61ABE" w:rsidTr="008E4BBB">
        <w:trPr>
          <w:tblCellSpacing w:w="15" w:type="dxa"/>
        </w:trPr>
        <w:tc>
          <w:tcPr>
            <w:tcW w:w="0" w:type="auto"/>
            <w:vAlign w:val="center"/>
            <w:hideMark/>
          </w:tcPr>
          <w:p w:rsidR="008E4BBB" w:rsidRPr="00E61ABE" w:rsidRDefault="00C25628" w:rsidP="00E61ABE">
            <w:pPr>
              <w:spacing w:after="0" w:line="240" w:lineRule="auto"/>
              <w:rPr>
                <w:rFonts w:ascii="Garamond" w:eastAsia="Times New Roman" w:hAnsi="Garamond" w:cs="Arial"/>
                <w:sz w:val="20"/>
                <w:szCs w:val="20"/>
                <w:lang w:eastAsia="cs-CZ"/>
              </w:rPr>
            </w:pPr>
            <w:hyperlink r:id="rId48" w:history="1">
              <w:r w:rsidR="008E4BBB" w:rsidRPr="00E61ABE">
                <w:rPr>
                  <w:rFonts w:ascii="Garamond" w:eastAsia="Times New Roman" w:hAnsi="Garamond" w:cs="Arial"/>
                  <w:sz w:val="20"/>
                  <w:szCs w:val="20"/>
                  <w:u w:val="single"/>
                  <w:lang w:eastAsia="cs-CZ"/>
                </w:rPr>
                <w:t>Číslo: 9/2006</w:t>
              </w:r>
            </w:hyperlink>
            <w:r w:rsidR="008E4BBB" w:rsidRPr="00E61ABE">
              <w:rPr>
                <w:rFonts w:ascii="Garamond" w:eastAsia="Times New Roman" w:hAnsi="Garamond" w:cs="Arial"/>
                <w:sz w:val="20"/>
                <w:szCs w:val="20"/>
                <w:lang w:eastAsia="cs-CZ"/>
              </w:rPr>
              <w:t> </w:t>
            </w:r>
            <w:r w:rsidR="008E4BBB" w:rsidRPr="00E61ABE">
              <w:rPr>
                <w:rFonts w:ascii="Garamond" w:eastAsia="Times New Roman" w:hAnsi="Garamond" w:cs="Arial"/>
                <w:sz w:val="20"/>
                <w:szCs w:val="20"/>
                <w:lang w:eastAsia="cs-CZ"/>
              </w:rPr>
              <w:br/>
              <w:t>Ročník: 4</w:t>
            </w:r>
          </w:p>
        </w:tc>
      </w:tr>
    </w:tbl>
    <w:p w:rsidR="008E4BBB" w:rsidRPr="00E61ABE" w:rsidRDefault="008E4BBB"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8E4BBB" w:rsidRPr="00E61ABE" w:rsidTr="008E4BBB">
        <w:trPr>
          <w:tblCellSpacing w:w="15" w:type="dxa"/>
        </w:trPr>
        <w:tc>
          <w:tcPr>
            <w:tcW w:w="0" w:type="auto"/>
            <w:vAlign w:val="center"/>
            <w:hideMark/>
          </w:tcPr>
          <w:p w:rsidR="008E4BBB" w:rsidRPr="00E61ABE" w:rsidRDefault="008E4BBB"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č:927</w:t>
            </w:r>
          </w:p>
        </w:tc>
      </w:tr>
      <w:tr w:rsidR="008E4BBB" w:rsidRPr="00E61ABE" w:rsidTr="008E4BBB">
        <w:trPr>
          <w:tblCellSpacing w:w="15" w:type="dxa"/>
        </w:trPr>
        <w:tc>
          <w:tcPr>
            <w:tcW w:w="0" w:type="auto"/>
            <w:vAlign w:val="center"/>
            <w:hideMark/>
          </w:tcPr>
          <w:p w:rsidR="008E4BBB" w:rsidRPr="00E61ABE" w:rsidRDefault="008E4BBB"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Informace: k pojmům zabezpečení a zpracování osobních údajů</w:t>
            </w:r>
          </w:p>
        </w:tc>
      </w:tr>
      <w:tr w:rsidR="008E4BBB" w:rsidRPr="00E61ABE" w:rsidTr="008E4BBB">
        <w:trPr>
          <w:tblCellSpacing w:w="15" w:type="dxa"/>
        </w:trPr>
        <w:tc>
          <w:tcPr>
            <w:tcW w:w="0" w:type="auto"/>
            <w:vAlign w:val="center"/>
            <w:hideMark/>
          </w:tcPr>
          <w:p w:rsidR="00837C05" w:rsidRDefault="008E4BBB"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Cílem právní úpravy obsažené v zákoně č. 101/2000 Sb., o ochraně osobních údajů a o změně některých zákonů, je naplnit právo každého na ochranu před neoprávněným zasahováním do soukromí a uvést práva a povinnosti při</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zpracování osobních údajů do souladu se směrnicí č. 95/46/ES.</w:t>
            </w:r>
          </w:p>
          <w:p w:rsidR="00837C05" w:rsidRDefault="008E4BBB"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 xml:space="preserve">II. „Zabezpečení osobních údajů“ ve smyslu § 13 zákona č. 101/2000 Sb., o ochraně osobních údajů a o změně některých zákonů, není jednou z činností zahrnutých pod pojem „zpracování osobních údajů“ a demonstrativně vypočtených v § 4 písm. e) cit. </w:t>
            </w:r>
            <w:proofErr w:type="gramStart"/>
            <w:r w:rsidRPr="00E61ABE">
              <w:rPr>
                <w:rFonts w:ascii="Garamond" w:eastAsia="Times New Roman" w:hAnsi="Garamond" w:cs="Arial"/>
                <w:sz w:val="20"/>
                <w:szCs w:val="20"/>
                <w:lang w:eastAsia="cs-CZ"/>
              </w:rPr>
              <w:t>zákona</w:t>
            </w:r>
            <w:proofErr w:type="gramEnd"/>
            <w:r w:rsidRPr="00E61ABE">
              <w:rPr>
                <w:rFonts w:ascii="Garamond" w:eastAsia="Times New Roman" w:hAnsi="Garamond" w:cs="Arial"/>
                <w:sz w:val="20"/>
                <w:szCs w:val="20"/>
                <w:lang w:eastAsia="cs-CZ"/>
              </w:rPr>
              <w:t>. Tyto termíny označují aktivity druhově odlišné, byť vzájemně provázané, neboť povinnost zabezpečení dopadá na veškeré úkony zahrnované pod zákonný pojem zpracování osobních údajů (jeho přípravu i samotné provádění). Ustanovení § 47 odst. 2 a 3 zákona se tudíž na povinnost upravenou v</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ustanovení § 13 zákona nevztahují.</w:t>
            </w:r>
          </w:p>
          <w:p w:rsidR="008E4BBB" w:rsidRPr="00E61ABE" w:rsidRDefault="008E4BBB"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10. 5. 2006,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3 As 21/2005-105)</w:t>
            </w:r>
          </w:p>
        </w:tc>
      </w:tr>
    </w:tbl>
    <w:p w:rsidR="008E4BBB" w:rsidRPr="00E61ABE" w:rsidRDefault="008E4BBB"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286949" w:rsidRPr="00E61ABE" w:rsidTr="00286949">
        <w:trPr>
          <w:tblCellSpacing w:w="15" w:type="dxa"/>
        </w:trPr>
        <w:tc>
          <w:tcPr>
            <w:tcW w:w="0" w:type="auto"/>
            <w:vAlign w:val="center"/>
            <w:hideMark/>
          </w:tcPr>
          <w:p w:rsidR="00286949" w:rsidRPr="00E61ABE" w:rsidRDefault="00C25628" w:rsidP="00E61ABE">
            <w:pPr>
              <w:spacing w:after="0" w:line="240" w:lineRule="auto"/>
              <w:rPr>
                <w:rFonts w:ascii="Garamond" w:eastAsia="Times New Roman" w:hAnsi="Garamond" w:cs="Arial"/>
                <w:sz w:val="20"/>
                <w:szCs w:val="20"/>
                <w:lang w:eastAsia="cs-CZ"/>
              </w:rPr>
            </w:pPr>
            <w:hyperlink r:id="rId49" w:history="1">
              <w:r w:rsidR="00286949" w:rsidRPr="00E61ABE">
                <w:rPr>
                  <w:rFonts w:ascii="Garamond" w:eastAsia="Times New Roman" w:hAnsi="Garamond" w:cs="Arial"/>
                  <w:sz w:val="20"/>
                  <w:szCs w:val="20"/>
                  <w:u w:val="single"/>
                  <w:lang w:eastAsia="cs-CZ"/>
                </w:rPr>
                <w:t>Číslo: 5/2006</w:t>
              </w:r>
            </w:hyperlink>
            <w:r w:rsidR="00286949" w:rsidRPr="00E61ABE">
              <w:rPr>
                <w:rFonts w:ascii="Garamond" w:eastAsia="Times New Roman" w:hAnsi="Garamond" w:cs="Arial"/>
                <w:sz w:val="20"/>
                <w:szCs w:val="20"/>
                <w:lang w:eastAsia="cs-CZ"/>
              </w:rPr>
              <w:t> </w:t>
            </w:r>
            <w:r w:rsidR="00286949" w:rsidRPr="00E61ABE">
              <w:rPr>
                <w:rFonts w:ascii="Garamond" w:eastAsia="Times New Roman" w:hAnsi="Garamond" w:cs="Arial"/>
                <w:sz w:val="20"/>
                <w:szCs w:val="20"/>
                <w:lang w:eastAsia="cs-CZ"/>
              </w:rPr>
              <w:br/>
              <w:t>Ročník: 4</w:t>
            </w:r>
          </w:p>
        </w:tc>
      </w:tr>
    </w:tbl>
    <w:p w:rsidR="00286949" w:rsidRPr="00E61ABE" w:rsidRDefault="00286949"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č:851</w:t>
            </w:r>
          </w:p>
        </w:tc>
      </w:tr>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Informace: povinná osoba</w:t>
            </w:r>
          </w:p>
        </w:tc>
      </w:tr>
      <w:tr w:rsidR="00286949" w:rsidRPr="00E61ABE" w:rsidTr="00286949">
        <w:trPr>
          <w:tblCellSpacing w:w="15" w:type="dxa"/>
        </w:trPr>
        <w:tc>
          <w:tcPr>
            <w:tcW w:w="0" w:type="auto"/>
            <w:vAlign w:val="center"/>
            <w:hideMark/>
          </w:tcPr>
          <w:p w:rsidR="00286949" w:rsidRPr="00E61ABE" w:rsidRDefault="00286949" w:rsidP="003216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Státní podnik zřízený podle zákona č. 77/1997 Sb., o státním podniku, jehož hlavním předmětem podnikání je správa a provoz mezinárodního letiště, není veřejnou institucí ve smyslu § 2 odst. 1 zákona č. 106/1999 Sb., o</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svobodném přístupu k informacím, povinnou k poskytování informací vztahujících se k její působnosti.</w:t>
            </w:r>
            <w:r w:rsidRPr="00E61ABE">
              <w:rPr>
                <w:rFonts w:ascii="Garamond" w:eastAsia="Times New Roman" w:hAnsi="Garamond" w:cs="Arial"/>
                <w:sz w:val="20"/>
                <w:szCs w:val="20"/>
                <w:lang w:eastAsia="cs-CZ"/>
              </w:rPr>
              <w:br/>
            </w:r>
            <w:r w:rsidRPr="00E61ABE">
              <w:rPr>
                <w:rFonts w:ascii="Garamond" w:eastAsia="Times New Roman" w:hAnsi="Garamond" w:cs="Arial"/>
                <w:sz w:val="20"/>
                <w:szCs w:val="20"/>
                <w:lang w:eastAsia="cs-CZ"/>
              </w:rPr>
              <w:br/>
              <w:t xml:space="preserve">(Podle rozsudku Nejvyššího správního soudu ze dne 17. 1. 2006,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6 As 52/2004-67)</w:t>
            </w:r>
          </w:p>
        </w:tc>
      </w:tr>
    </w:tbl>
    <w:p w:rsidR="008E4BBB" w:rsidRPr="00E61ABE" w:rsidRDefault="008E4BBB"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286949" w:rsidRPr="00E61ABE" w:rsidTr="00286949">
        <w:trPr>
          <w:tblCellSpacing w:w="15" w:type="dxa"/>
        </w:trPr>
        <w:tc>
          <w:tcPr>
            <w:tcW w:w="0" w:type="auto"/>
            <w:vAlign w:val="center"/>
            <w:hideMark/>
          </w:tcPr>
          <w:p w:rsidR="00286949" w:rsidRPr="00E61ABE" w:rsidRDefault="00C25628" w:rsidP="00E61ABE">
            <w:pPr>
              <w:spacing w:after="0" w:line="240" w:lineRule="auto"/>
              <w:rPr>
                <w:rFonts w:ascii="Garamond" w:eastAsia="Times New Roman" w:hAnsi="Garamond" w:cs="Arial"/>
                <w:sz w:val="20"/>
                <w:szCs w:val="20"/>
                <w:lang w:eastAsia="cs-CZ"/>
              </w:rPr>
            </w:pPr>
            <w:hyperlink r:id="rId50" w:history="1">
              <w:r w:rsidR="00286949" w:rsidRPr="00E61ABE">
                <w:rPr>
                  <w:rFonts w:ascii="Garamond" w:eastAsia="Times New Roman" w:hAnsi="Garamond" w:cs="Arial"/>
                  <w:sz w:val="20"/>
                  <w:szCs w:val="20"/>
                  <w:u w:val="single"/>
                  <w:lang w:eastAsia="cs-CZ"/>
                </w:rPr>
                <w:t>Číslo: 4/2006</w:t>
              </w:r>
            </w:hyperlink>
            <w:r w:rsidR="00286949" w:rsidRPr="00E61ABE">
              <w:rPr>
                <w:rFonts w:ascii="Garamond" w:eastAsia="Times New Roman" w:hAnsi="Garamond" w:cs="Arial"/>
                <w:sz w:val="20"/>
                <w:szCs w:val="20"/>
                <w:lang w:eastAsia="cs-CZ"/>
              </w:rPr>
              <w:t> </w:t>
            </w:r>
            <w:r w:rsidR="00286949" w:rsidRPr="00E61ABE">
              <w:rPr>
                <w:rFonts w:ascii="Garamond" w:eastAsia="Times New Roman" w:hAnsi="Garamond" w:cs="Arial"/>
                <w:sz w:val="20"/>
                <w:szCs w:val="20"/>
                <w:lang w:eastAsia="cs-CZ"/>
              </w:rPr>
              <w:br/>
              <w:t>Ročník: 4</w:t>
            </w:r>
          </w:p>
        </w:tc>
      </w:tr>
    </w:tbl>
    <w:p w:rsidR="00286949" w:rsidRPr="00E61ABE" w:rsidRDefault="00286949"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č:811</w:t>
            </w:r>
          </w:p>
        </w:tc>
      </w:tr>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Řízení před soudem: kompetenční výluka</w:t>
            </w:r>
            <w:r w:rsidRPr="00E61ABE">
              <w:rPr>
                <w:rFonts w:ascii="Garamond" w:eastAsia="Times New Roman" w:hAnsi="Garamond" w:cs="Arial"/>
                <w:b/>
                <w:bCs/>
                <w:sz w:val="20"/>
                <w:szCs w:val="20"/>
                <w:lang w:eastAsia="cs-CZ"/>
              </w:rPr>
              <w:br/>
              <w:t>Právo na informace: povinnost poskytovat informace</w:t>
            </w:r>
          </w:p>
        </w:tc>
      </w:tr>
      <w:tr w:rsidR="00286949" w:rsidRPr="00E61ABE" w:rsidTr="00286949">
        <w:trPr>
          <w:tblCellSpacing w:w="15" w:type="dxa"/>
        </w:trPr>
        <w:tc>
          <w:tcPr>
            <w:tcW w:w="0" w:type="auto"/>
            <w:vAlign w:val="center"/>
            <w:hideMark/>
          </w:tcPr>
          <w:p w:rsidR="00837C05"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 xml:space="preserve">Je-li žalobou napaden přípis, kterým žalovaný v zákonem stanovené lhůtě reagoval na odvolání žalobce podané proti fiktivnímu rozhodnutí o odepření informace podle zákona č. 106/1999 Sb., o svobodném přístupu k informacím, tak, že není subjektem povinným k poskytnutí informace, lze takovou žalobu s poukazem na § 70 písm. a) ve spojení s § 65 odst. 1 s. </w:t>
            </w:r>
            <w:proofErr w:type="spellStart"/>
            <w:r w:rsidRPr="00E61ABE">
              <w:rPr>
                <w:rFonts w:ascii="Garamond" w:eastAsia="Times New Roman" w:hAnsi="Garamond" w:cs="Arial"/>
                <w:sz w:val="20"/>
                <w:szCs w:val="20"/>
                <w:lang w:eastAsia="cs-CZ"/>
              </w:rPr>
              <w:t>ř</w:t>
            </w:r>
            <w:proofErr w:type="spellEnd"/>
            <w:r w:rsidRPr="00E61ABE">
              <w:rPr>
                <w:rFonts w:ascii="Garamond" w:eastAsia="Times New Roman" w:hAnsi="Garamond" w:cs="Arial"/>
                <w:sz w:val="20"/>
                <w:szCs w:val="20"/>
                <w:lang w:eastAsia="cs-CZ"/>
              </w:rPr>
              <w:t>. s. odmítnout pouze tehdy, je-li najisto postaveno, že subjekt, po němž byla informace požadována, nenáleží do okruhu povinných subjektů podle výše uvedeného zákona.</w:t>
            </w:r>
          </w:p>
          <w:p w:rsidR="00286949" w:rsidRPr="00E61ABE"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15. 12. 2005,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1 As 41/2004-56)</w:t>
            </w:r>
          </w:p>
        </w:tc>
      </w:tr>
    </w:tbl>
    <w:p w:rsidR="00286949" w:rsidRPr="00E61ABE" w:rsidRDefault="00286949"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286949" w:rsidRPr="00E61ABE" w:rsidTr="00286949">
        <w:trPr>
          <w:tblCellSpacing w:w="15" w:type="dxa"/>
        </w:trPr>
        <w:tc>
          <w:tcPr>
            <w:tcW w:w="0" w:type="auto"/>
            <w:vAlign w:val="center"/>
            <w:hideMark/>
          </w:tcPr>
          <w:p w:rsidR="00286949" w:rsidRPr="00E61ABE" w:rsidRDefault="00C25628" w:rsidP="00E61ABE">
            <w:pPr>
              <w:spacing w:after="0" w:line="240" w:lineRule="auto"/>
              <w:rPr>
                <w:rFonts w:ascii="Garamond" w:eastAsia="Times New Roman" w:hAnsi="Garamond" w:cs="Arial"/>
                <w:sz w:val="20"/>
                <w:szCs w:val="20"/>
                <w:lang w:eastAsia="cs-CZ"/>
              </w:rPr>
            </w:pPr>
            <w:hyperlink r:id="rId51" w:history="1">
              <w:r w:rsidR="00286949" w:rsidRPr="00E61ABE">
                <w:rPr>
                  <w:rFonts w:ascii="Garamond" w:eastAsia="Times New Roman" w:hAnsi="Garamond" w:cs="Arial"/>
                  <w:sz w:val="20"/>
                  <w:szCs w:val="20"/>
                  <w:u w:val="single"/>
                  <w:lang w:eastAsia="cs-CZ"/>
                </w:rPr>
                <w:t>Číslo: 2/2006</w:t>
              </w:r>
            </w:hyperlink>
            <w:r w:rsidR="00286949" w:rsidRPr="00E61ABE">
              <w:rPr>
                <w:rFonts w:ascii="Garamond" w:eastAsia="Times New Roman" w:hAnsi="Garamond" w:cs="Arial"/>
                <w:sz w:val="20"/>
                <w:szCs w:val="20"/>
                <w:lang w:eastAsia="cs-CZ"/>
              </w:rPr>
              <w:t> </w:t>
            </w:r>
            <w:r w:rsidR="00286949" w:rsidRPr="00E61ABE">
              <w:rPr>
                <w:rFonts w:ascii="Garamond" w:eastAsia="Times New Roman" w:hAnsi="Garamond" w:cs="Arial"/>
                <w:sz w:val="20"/>
                <w:szCs w:val="20"/>
                <w:lang w:eastAsia="cs-CZ"/>
              </w:rPr>
              <w:br/>
              <w:t>Ročník: 4</w:t>
            </w:r>
          </w:p>
        </w:tc>
      </w:tr>
    </w:tbl>
    <w:p w:rsidR="00286949" w:rsidRPr="00E61ABE" w:rsidRDefault="00286949"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č:769</w:t>
            </w:r>
          </w:p>
        </w:tc>
      </w:tr>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Informace: předmět žádosti</w:t>
            </w:r>
          </w:p>
        </w:tc>
      </w:tr>
      <w:tr w:rsidR="00286949" w:rsidRPr="00E61ABE" w:rsidTr="00286949">
        <w:trPr>
          <w:tblCellSpacing w:w="15" w:type="dxa"/>
        </w:trPr>
        <w:tc>
          <w:tcPr>
            <w:tcW w:w="0" w:type="auto"/>
            <w:vAlign w:val="center"/>
            <w:hideMark/>
          </w:tcPr>
          <w:p w:rsidR="00837C05"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 xml:space="preserve">Formální označení podání jako žádosti podle zákona č. 106/1999 Sb., o svobodném přístupu k informacím, není </w:t>
            </w:r>
            <w:r w:rsidRPr="00E61ABE">
              <w:rPr>
                <w:rFonts w:ascii="Garamond" w:eastAsia="Times New Roman" w:hAnsi="Garamond" w:cs="Arial"/>
                <w:sz w:val="20"/>
                <w:szCs w:val="20"/>
                <w:lang w:eastAsia="cs-CZ"/>
              </w:rPr>
              <w:lastRenderedPageBreak/>
              <w:t>způsobilé vyvolat právní účinky, které tento zákon spojuje toliko s podáním o určitém, dle zákona relevantním, obsahu. Žadatel se může domáhat poskytnutí pouze těch informací, jež se vztahují k působnosti povinného subjektu; do působnosti Ministerstva spravedlnosti přitom nepatří poskytovat obecně výklad právních norem či zaujímat odborná teoretická stanoviska k jejich aplikaci.</w:t>
            </w:r>
          </w:p>
          <w:p w:rsidR="00286949" w:rsidRPr="00E61ABE"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usnesení Městského soudu v Praze ze dne 30. 8. 2005,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10 Ca 174/2005-20)</w:t>
            </w:r>
          </w:p>
        </w:tc>
      </w:tr>
    </w:tbl>
    <w:p w:rsidR="00286949" w:rsidRPr="00E61ABE" w:rsidRDefault="00286949"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286949" w:rsidRPr="00E61ABE" w:rsidTr="00286949">
        <w:trPr>
          <w:tblCellSpacing w:w="15" w:type="dxa"/>
        </w:trPr>
        <w:tc>
          <w:tcPr>
            <w:tcW w:w="0" w:type="auto"/>
            <w:vAlign w:val="center"/>
            <w:hideMark/>
          </w:tcPr>
          <w:p w:rsidR="00286949" w:rsidRPr="00E61ABE" w:rsidRDefault="00C25628" w:rsidP="00E61ABE">
            <w:pPr>
              <w:spacing w:after="0" w:line="240" w:lineRule="auto"/>
              <w:rPr>
                <w:rFonts w:ascii="Garamond" w:eastAsia="Times New Roman" w:hAnsi="Garamond" w:cs="Arial"/>
                <w:sz w:val="20"/>
                <w:szCs w:val="20"/>
                <w:lang w:eastAsia="cs-CZ"/>
              </w:rPr>
            </w:pPr>
            <w:hyperlink r:id="rId52" w:history="1">
              <w:r w:rsidR="00286949" w:rsidRPr="00E61ABE">
                <w:rPr>
                  <w:rFonts w:ascii="Garamond" w:eastAsia="Times New Roman" w:hAnsi="Garamond" w:cs="Arial"/>
                  <w:sz w:val="20"/>
                  <w:szCs w:val="20"/>
                  <w:u w:val="single"/>
                  <w:lang w:eastAsia="cs-CZ"/>
                </w:rPr>
                <w:t>Číslo: 2/2006</w:t>
              </w:r>
            </w:hyperlink>
            <w:r w:rsidR="00286949" w:rsidRPr="00E61ABE">
              <w:rPr>
                <w:rFonts w:ascii="Garamond" w:eastAsia="Times New Roman" w:hAnsi="Garamond" w:cs="Arial"/>
                <w:sz w:val="20"/>
                <w:szCs w:val="20"/>
                <w:lang w:eastAsia="cs-CZ"/>
              </w:rPr>
              <w:t> </w:t>
            </w:r>
            <w:r w:rsidR="00286949" w:rsidRPr="00E61ABE">
              <w:rPr>
                <w:rFonts w:ascii="Garamond" w:eastAsia="Times New Roman" w:hAnsi="Garamond" w:cs="Arial"/>
                <w:sz w:val="20"/>
                <w:szCs w:val="20"/>
                <w:lang w:eastAsia="cs-CZ"/>
              </w:rPr>
              <w:br/>
              <w:t>Ročník: 4</w:t>
            </w:r>
          </w:p>
        </w:tc>
      </w:tr>
    </w:tbl>
    <w:p w:rsidR="00286949" w:rsidRPr="00E61ABE" w:rsidRDefault="00286949"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č:768</w:t>
            </w:r>
          </w:p>
        </w:tc>
      </w:tr>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Informace: obchodní tajemství</w:t>
            </w:r>
            <w:r w:rsidRPr="00E61ABE">
              <w:rPr>
                <w:rFonts w:ascii="Garamond" w:eastAsia="Times New Roman" w:hAnsi="Garamond" w:cs="Arial"/>
                <w:b/>
                <w:bCs/>
                <w:sz w:val="20"/>
                <w:szCs w:val="20"/>
                <w:lang w:eastAsia="cs-CZ"/>
              </w:rPr>
              <w:br/>
              <w:t>Řízení před soudem: skutkový stav nemající oporu ve spisu</w:t>
            </w:r>
          </w:p>
        </w:tc>
      </w:tr>
      <w:tr w:rsidR="00286949" w:rsidRPr="00E61ABE" w:rsidTr="00286949">
        <w:trPr>
          <w:tblCellSpacing w:w="15" w:type="dxa"/>
        </w:trPr>
        <w:tc>
          <w:tcPr>
            <w:tcW w:w="0" w:type="auto"/>
            <w:vAlign w:val="center"/>
            <w:hideMark/>
          </w:tcPr>
          <w:p w:rsidR="00837C05"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Jestliže negativní rozhodnutí správního orgánu o žádosti o poskytnutí informací podle zákona č. 106/1999 Sb., o</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 xml:space="preserve">svobodném přístupu k informacím, je opřeno o ochranu obchodního tajemství (§ 9 odst. 1 tohoto zákona), avšak soud ze správního spisu zjistí, že v době rozhodování správního orgánu ve spisu nebylo nic svědčící o tom, že by podnikatel požadovanou informaci označil za obchodní tajemství ve smyslu § 17 obchodního zákoníku, pak soud takové správní rozhodnutí zruší podle § 76 odst. 1 písm. b) s. </w:t>
            </w:r>
            <w:proofErr w:type="spellStart"/>
            <w:r w:rsidRPr="00E61ABE">
              <w:rPr>
                <w:rFonts w:ascii="Garamond" w:eastAsia="Times New Roman" w:hAnsi="Garamond" w:cs="Arial"/>
                <w:sz w:val="20"/>
                <w:szCs w:val="20"/>
                <w:lang w:eastAsia="cs-CZ"/>
              </w:rPr>
              <w:t>ř</w:t>
            </w:r>
            <w:proofErr w:type="spellEnd"/>
            <w:r w:rsidRPr="00E61ABE">
              <w:rPr>
                <w:rFonts w:ascii="Garamond" w:eastAsia="Times New Roman" w:hAnsi="Garamond" w:cs="Arial"/>
                <w:sz w:val="20"/>
                <w:szCs w:val="20"/>
                <w:lang w:eastAsia="cs-CZ"/>
              </w:rPr>
              <w:t>. s.</w:t>
            </w:r>
          </w:p>
          <w:p w:rsidR="00286949" w:rsidRPr="00E61ABE"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27. 2. 2004,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6 A 136/2002-35)</w:t>
            </w:r>
          </w:p>
        </w:tc>
      </w:tr>
    </w:tbl>
    <w:p w:rsidR="00286949" w:rsidRPr="00E61ABE" w:rsidRDefault="00286949"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286949" w:rsidRPr="00E61ABE" w:rsidTr="00286949">
        <w:trPr>
          <w:tblCellSpacing w:w="15" w:type="dxa"/>
        </w:trPr>
        <w:tc>
          <w:tcPr>
            <w:tcW w:w="0" w:type="auto"/>
            <w:vAlign w:val="center"/>
            <w:hideMark/>
          </w:tcPr>
          <w:p w:rsidR="00286949" w:rsidRPr="00E61ABE" w:rsidRDefault="00C25628" w:rsidP="00E61ABE">
            <w:pPr>
              <w:spacing w:after="0" w:line="240" w:lineRule="auto"/>
              <w:rPr>
                <w:rFonts w:ascii="Garamond" w:eastAsia="Times New Roman" w:hAnsi="Garamond" w:cs="Arial"/>
                <w:sz w:val="20"/>
                <w:szCs w:val="20"/>
                <w:lang w:eastAsia="cs-CZ"/>
              </w:rPr>
            </w:pPr>
            <w:hyperlink r:id="rId53" w:history="1">
              <w:r w:rsidR="00286949" w:rsidRPr="00E61ABE">
                <w:rPr>
                  <w:rFonts w:ascii="Garamond" w:eastAsia="Times New Roman" w:hAnsi="Garamond" w:cs="Arial"/>
                  <w:sz w:val="20"/>
                  <w:szCs w:val="20"/>
                  <w:u w:val="single"/>
                  <w:lang w:eastAsia="cs-CZ"/>
                </w:rPr>
                <w:t>Číslo: 1/2006</w:t>
              </w:r>
            </w:hyperlink>
            <w:r w:rsidR="00286949" w:rsidRPr="00E61ABE">
              <w:rPr>
                <w:rFonts w:ascii="Garamond" w:eastAsia="Times New Roman" w:hAnsi="Garamond" w:cs="Arial"/>
                <w:sz w:val="20"/>
                <w:szCs w:val="20"/>
                <w:lang w:eastAsia="cs-CZ"/>
              </w:rPr>
              <w:t> </w:t>
            </w:r>
            <w:r w:rsidR="00286949" w:rsidRPr="00E61ABE">
              <w:rPr>
                <w:rFonts w:ascii="Garamond" w:eastAsia="Times New Roman" w:hAnsi="Garamond" w:cs="Arial"/>
                <w:sz w:val="20"/>
                <w:szCs w:val="20"/>
                <w:lang w:eastAsia="cs-CZ"/>
              </w:rPr>
              <w:br/>
              <w:t>Ročník: 4</w:t>
            </w:r>
          </w:p>
        </w:tc>
      </w:tr>
    </w:tbl>
    <w:p w:rsidR="00286949" w:rsidRPr="00E61ABE" w:rsidRDefault="00286949"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č:750</w:t>
            </w:r>
          </w:p>
        </w:tc>
      </w:tr>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přípustnost nové žádosti v téže věci</w:t>
            </w:r>
          </w:p>
        </w:tc>
      </w:tr>
      <w:tr w:rsidR="00286949" w:rsidRPr="00E61ABE" w:rsidTr="00286949">
        <w:trPr>
          <w:tblCellSpacing w:w="15" w:type="dxa"/>
        </w:trPr>
        <w:tc>
          <w:tcPr>
            <w:tcW w:w="0" w:type="auto"/>
            <w:vAlign w:val="center"/>
            <w:hideMark/>
          </w:tcPr>
          <w:p w:rsidR="00837C05"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Pokud na základě žádosti o poskytnutí informace podle zákona č. 106/1999 Sb., o svobodném přístupu k</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informacím, byla již žadateli poskytnuta informace anebo bylo vydáno rozhodnutí o zamítnutí této žádosti (rozhodnutí faktické nebo fiktivní), nic nebrání žadateli, aby podal žádost novou, byť i obsahově shodnou. Pokud má povinný subjekt za to, že dotyčná informace již byla poskytnuta, byť i po lhůtě k vyřízení původní žádosti, má novou žádost v zákonné lhůtě z tohoto důvodu zamítnout.</w:t>
            </w:r>
          </w:p>
          <w:p w:rsidR="00286949" w:rsidRPr="00E61ABE"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15. 7. 2004,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5 A 65/2002-33)</w:t>
            </w:r>
          </w:p>
        </w:tc>
      </w:tr>
    </w:tbl>
    <w:p w:rsidR="00286949" w:rsidRPr="00E61ABE" w:rsidRDefault="00286949"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290"/>
      </w:tblGrid>
      <w:tr w:rsidR="00286949" w:rsidRPr="00E61ABE" w:rsidTr="00286949">
        <w:trPr>
          <w:tblCellSpacing w:w="15" w:type="dxa"/>
        </w:trPr>
        <w:tc>
          <w:tcPr>
            <w:tcW w:w="0" w:type="auto"/>
            <w:vAlign w:val="center"/>
            <w:hideMark/>
          </w:tcPr>
          <w:p w:rsidR="00286949" w:rsidRPr="00E61ABE" w:rsidRDefault="00C25628" w:rsidP="00E61ABE">
            <w:pPr>
              <w:spacing w:after="0" w:line="240" w:lineRule="auto"/>
              <w:rPr>
                <w:rFonts w:ascii="Garamond" w:eastAsia="Times New Roman" w:hAnsi="Garamond" w:cs="Arial"/>
                <w:sz w:val="20"/>
                <w:szCs w:val="20"/>
                <w:lang w:eastAsia="cs-CZ"/>
              </w:rPr>
            </w:pPr>
            <w:hyperlink r:id="rId54" w:history="1">
              <w:r w:rsidR="00286949" w:rsidRPr="00E61ABE">
                <w:rPr>
                  <w:rFonts w:ascii="Garamond" w:eastAsia="Times New Roman" w:hAnsi="Garamond" w:cs="Arial"/>
                  <w:sz w:val="20"/>
                  <w:szCs w:val="20"/>
                  <w:u w:val="single"/>
                  <w:lang w:eastAsia="cs-CZ"/>
                </w:rPr>
                <w:t>Číslo: 12/2005</w:t>
              </w:r>
            </w:hyperlink>
            <w:r w:rsidR="00286949" w:rsidRPr="00E61ABE">
              <w:rPr>
                <w:rFonts w:ascii="Garamond" w:eastAsia="Times New Roman" w:hAnsi="Garamond" w:cs="Arial"/>
                <w:sz w:val="20"/>
                <w:szCs w:val="20"/>
                <w:lang w:eastAsia="cs-CZ"/>
              </w:rPr>
              <w:t> </w:t>
            </w:r>
            <w:r w:rsidR="00286949" w:rsidRPr="00E61ABE">
              <w:rPr>
                <w:rFonts w:ascii="Garamond" w:eastAsia="Times New Roman" w:hAnsi="Garamond" w:cs="Arial"/>
                <w:sz w:val="20"/>
                <w:szCs w:val="20"/>
                <w:lang w:eastAsia="cs-CZ"/>
              </w:rPr>
              <w:br/>
              <w:t>Ročník: 3</w:t>
            </w:r>
          </w:p>
        </w:tc>
      </w:tr>
    </w:tbl>
    <w:p w:rsidR="00286949" w:rsidRPr="00E61ABE" w:rsidRDefault="00286949"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č:711</w:t>
            </w:r>
          </w:p>
        </w:tc>
      </w:tr>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poskytování informací ze schůze rady obce</w:t>
            </w:r>
          </w:p>
        </w:tc>
      </w:tr>
      <w:tr w:rsidR="00286949" w:rsidRPr="00E61ABE" w:rsidTr="00286949">
        <w:trPr>
          <w:tblCellSpacing w:w="15" w:type="dxa"/>
        </w:trPr>
        <w:tc>
          <w:tcPr>
            <w:tcW w:w="0" w:type="auto"/>
            <w:vAlign w:val="center"/>
            <w:hideMark/>
          </w:tcPr>
          <w:p w:rsidR="00837C05"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Neveřejnost schůze rady obce ani právo člena zastupitelstva obce nahlížet do zápisu ze schůze rady obce (§ 101 odst. 1 a 3 zákona č. 128/2000 Sb., obecního zřízení) neomezují samy o sobě právo na informace (čl. 17 odst. 1 Listiny základních práv a svobod) ohledně skutečností obsažených v takovém zápisu.</w:t>
            </w:r>
          </w:p>
          <w:p w:rsidR="00837C05"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Povinný subjekt poskytující informace ze zápisu ze schůze rady obce jiné osobě než členu zastupitelstva obce je povinen zajistit zákonem stanovenou ochranu práv a svobod jiných osob způsoby předvídanými v § 12 zákona č. 106/1999 Sb., o svobodném přístupu k informacím; to ovšem neplatí, pokud občan obce požaduje informace z</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usnesení rady, k nimž má podle § 16 odst. 2 písm. e) zákona č. 128/2000 Sb., obecního zřízení, zaručen přímý přístup formou nahlédnutí a pořízení výpisů.</w:t>
            </w:r>
          </w:p>
          <w:p w:rsidR="00286949" w:rsidRPr="00E61ABE"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25. 8. 2005,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6 As 40/2004-62)</w:t>
            </w:r>
          </w:p>
        </w:tc>
      </w:tr>
    </w:tbl>
    <w:p w:rsidR="00286949" w:rsidRPr="00E61ABE" w:rsidRDefault="00286949"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286949" w:rsidRPr="00E61ABE" w:rsidTr="00286949">
        <w:trPr>
          <w:tblCellSpacing w:w="15" w:type="dxa"/>
        </w:trPr>
        <w:tc>
          <w:tcPr>
            <w:tcW w:w="0" w:type="auto"/>
            <w:vAlign w:val="center"/>
            <w:hideMark/>
          </w:tcPr>
          <w:p w:rsidR="00286949" w:rsidRPr="00E61ABE" w:rsidRDefault="00C25628" w:rsidP="00E61ABE">
            <w:pPr>
              <w:spacing w:after="0" w:line="240" w:lineRule="auto"/>
              <w:rPr>
                <w:rFonts w:ascii="Garamond" w:eastAsia="Times New Roman" w:hAnsi="Garamond" w:cs="Arial"/>
                <w:sz w:val="20"/>
                <w:szCs w:val="20"/>
                <w:lang w:eastAsia="cs-CZ"/>
              </w:rPr>
            </w:pPr>
            <w:hyperlink r:id="rId55" w:history="1">
              <w:r w:rsidR="00286949" w:rsidRPr="00E61ABE">
                <w:rPr>
                  <w:rFonts w:ascii="Garamond" w:eastAsia="Times New Roman" w:hAnsi="Garamond" w:cs="Arial"/>
                  <w:sz w:val="20"/>
                  <w:szCs w:val="20"/>
                  <w:u w:val="single"/>
                  <w:lang w:eastAsia="cs-CZ"/>
                </w:rPr>
                <w:t>Číslo: 9/2005</w:t>
              </w:r>
            </w:hyperlink>
            <w:r w:rsidR="00286949" w:rsidRPr="00E61ABE">
              <w:rPr>
                <w:rFonts w:ascii="Garamond" w:eastAsia="Times New Roman" w:hAnsi="Garamond" w:cs="Arial"/>
                <w:sz w:val="20"/>
                <w:szCs w:val="20"/>
                <w:lang w:eastAsia="cs-CZ"/>
              </w:rPr>
              <w:t> </w:t>
            </w:r>
            <w:r w:rsidR="00286949" w:rsidRPr="00E61ABE">
              <w:rPr>
                <w:rFonts w:ascii="Garamond" w:eastAsia="Times New Roman" w:hAnsi="Garamond" w:cs="Arial"/>
                <w:sz w:val="20"/>
                <w:szCs w:val="20"/>
                <w:lang w:eastAsia="cs-CZ"/>
              </w:rPr>
              <w:br/>
              <w:t>Ročník: 3</w:t>
            </w:r>
          </w:p>
        </w:tc>
      </w:tr>
    </w:tbl>
    <w:p w:rsidR="00286949" w:rsidRPr="00E61ABE" w:rsidRDefault="00286949"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č:654</w:t>
            </w:r>
          </w:p>
        </w:tc>
      </w:tr>
      <w:tr w:rsidR="00286949" w:rsidRPr="00E61ABE" w:rsidTr="00286949">
        <w:trPr>
          <w:tblCellSpacing w:w="15" w:type="dxa"/>
        </w:trPr>
        <w:tc>
          <w:tcPr>
            <w:tcW w:w="0" w:type="auto"/>
            <w:vAlign w:val="center"/>
            <w:hideMark/>
          </w:tcPr>
          <w:p w:rsidR="00286949" w:rsidRPr="00E61ABE" w:rsidRDefault="00286949"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obchodní tajemství</w:t>
            </w:r>
          </w:p>
        </w:tc>
      </w:tr>
      <w:tr w:rsidR="00286949" w:rsidRPr="00E61ABE" w:rsidTr="00286949">
        <w:trPr>
          <w:tblCellSpacing w:w="15" w:type="dxa"/>
        </w:trPr>
        <w:tc>
          <w:tcPr>
            <w:tcW w:w="0" w:type="auto"/>
            <w:vAlign w:val="center"/>
            <w:hideMark/>
          </w:tcPr>
          <w:p w:rsidR="00837C05"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 xml:space="preserve">I. Z hlediska § 9 odst. 1 zákona č. 106/1999 Sb., o svobodném přístupu k informacím, musí být určitá skutečnost </w:t>
            </w:r>
            <w:r w:rsidRPr="00E61ABE">
              <w:rPr>
                <w:rFonts w:ascii="Garamond" w:eastAsia="Times New Roman" w:hAnsi="Garamond" w:cs="Arial"/>
                <w:sz w:val="20"/>
                <w:szCs w:val="20"/>
                <w:lang w:eastAsia="cs-CZ"/>
              </w:rPr>
              <w:lastRenderedPageBreak/>
              <w:t>za</w:t>
            </w:r>
            <w:r w:rsidR="003216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obchodní tajemství výslovně označena již před doručením žádosti o poskytnutí informace.</w:t>
            </w:r>
          </w:p>
          <w:p w:rsidR="00837C05"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V souladu s § 9 odst. 2 zákona č. 106/1999 Sb., o svobodném přístupu k informacím, nelze z důvodu ochrany obchodního tajemství odepřít poskytnutí informace o ceně, která bude hrazena z veřejných rozpočtů. Používání veřejných prostředků přitom zahrnuje nejen přímé výdaje, ale i prominutí plateb, které by jinak byly příjmem těchto rozpočtů. Smyslem tohoto ustanovení je umožnit veřejnou kontrolu hospodaření s veřejnými prostředky. Jelikož samotná informace o ceně nevypovídá o způsobu hospodaření, je nutné společně s ní vždy poskytnout alespoň rámcovou informaci o předmětu plnění, za něž se cena poskytuje, a to v rozsahu nezbytném pro posouzení hospodárnosti využití veřejných prostředků.</w:t>
            </w:r>
          </w:p>
          <w:p w:rsidR="00286949" w:rsidRPr="00E61ABE" w:rsidRDefault="00286949"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9. 12. 2004,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7 A 118/2002-37)</w:t>
            </w:r>
          </w:p>
        </w:tc>
      </w:tr>
    </w:tbl>
    <w:p w:rsidR="00286949" w:rsidRPr="00E61ABE" w:rsidRDefault="00286949"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8F7BDC" w:rsidRPr="00E61ABE" w:rsidTr="008F7BDC">
        <w:trPr>
          <w:tblCellSpacing w:w="15" w:type="dxa"/>
        </w:trPr>
        <w:tc>
          <w:tcPr>
            <w:tcW w:w="0" w:type="auto"/>
            <w:vAlign w:val="center"/>
            <w:hideMark/>
          </w:tcPr>
          <w:p w:rsidR="008F7BDC" w:rsidRPr="00E61ABE" w:rsidRDefault="00C25628" w:rsidP="00E61ABE">
            <w:pPr>
              <w:spacing w:after="0" w:line="240" w:lineRule="auto"/>
              <w:rPr>
                <w:rFonts w:ascii="Garamond" w:eastAsia="Times New Roman" w:hAnsi="Garamond" w:cs="Arial"/>
                <w:sz w:val="20"/>
                <w:szCs w:val="20"/>
                <w:lang w:eastAsia="cs-CZ"/>
              </w:rPr>
            </w:pPr>
            <w:hyperlink r:id="rId56" w:history="1">
              <w:r w:rsidR="008F7BDC" w:rsidRPr="00E61ABE">
                <w:rPr>
                  <w:rFonts w:ascii="Garamond" w:eastAsia="Times New Roman" w:hAnsi="Garamond" w:cs="Arial"/>
                  <w:sz w:val="20"/>
                  <w:szCs w:val="20"/>
                  <w:u w:val="single"/>
                  <w:lang w:eastAsia="cs-CZ"/>
                </w:rPr>
                <w:t>Číslo: 5/2005</w:t>
              </w:r>
            </w:hyperlink>
            <w:r w:rsidR="008F7BDC" w:rsidRPr="00E61ABE">
              <w:rPr>
                <w:rFonts w:ascii="Garamond" w:eastAsia="Times New Roman" w:hAnsi="Garamond" w:cs="Arial"/>
                <w:sz w:val="20"/>
                <w:szCs w:val="20"/>
                <w:lang w:eastAsia="cs-CZ"/>
              </w:rPr>
              <w:t> </w:t>
            </w:r>
            <w:r w:rsidR="008F7BDC" w:rsidRPr="00E61ABE">
              <w:rPr>
                <w:rFonts w:ascii="Garamond" w:eastAsia="Times New Roman" w:hAnsi="Garamond" w:cs="Arial"/>
                <w:sz w:val="20"/>
                <w:szCs w:val="20"/>
                <w:lang w:eastAsia="cs-CZ"/>
              </w:rPr>
              <w:br/>
              <w:t>Ročník: 3</w:t>
            </w:r>
          </w:p>
        </w:tc>
      </w:tr>
    </w:tbl>
    <w:p w:rsidR="008F7BDC" w:rsidRPr="00E61ABE" w:rsidRDefault="008F7BDC"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č:555</w:t>
            </w:r>
          </w:p>
        </w:tc>
      </w:tr>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poskytnutí metodických pomůcek; k pojmu „informace“</w:t>
            </w:r>
            <w:r w:rsidRPr="00E61ABE">
              <w:rPr>
                <w:rFonts w:ascii="Garamond" w:eastAsia="Times New Roman" w:hAnsi="Garamond" w:cs="Arial"/>
                <w:b/>
                <w:bCs/>
                <w:sz w:val="20"/>
                <w:szCs w:val="20"/>
                <w:lang w:eastAsia="cs-CZ"/>
              </w:rPr>
              <w:br/>
              <w:t>Azyl: Příručka procedur a kritérií</w:t>
            </w:r>
          </w:p>
        </w:tc>
      </w:tr>
      <w:tr w:rsidR="008F7BDC" w:rsidRPr="00E61ABE" w:rsidTr="008F7BDC">
        <w:trPr>
          <w:tblCellSpacing w:w="15" w:type="dxa"/>
        </w:trPr>
        <w:tc>
          <w:tcPr>
            <w:tcW w:w="0" w:type="auto"/>
            <w:vAlign w:val="center"/>
            <w:hideMark/>
          </w:tcPr>
          <w:p w:rsidR="00837C05" w:rsidRDefault="008F7BDC"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Poskytnutím informací podle zákona č. 106/1999 Sb., o svobodném přístupu k informacím, se rozumí přímé nebo zprostředkované sdělení údajů o skutečnostech, které se týkají zákonem stanovené působnosti subjektu povinného poskytovat informace a jejího výkonu. Poskytnutí Příručky procedur a kritérií pro přiznání postavení uprchlíka podle Konvence z roku 1951 a Protokolu z roku 1967 o postavení uprchlíků, kterou vydal Úřad Vysokého komisaře OSN pro uprchlíky jako komentář k Úmluvě o právním postavení uprchlíků z roku 1951*) a kterou žalovaný používá jako pracovní materiál, však informací ve smyslu uvedeného zákona není.</w:t>
            </w:r>
          </w:p>
          <w:p w:rsidR="008F7BDC" w:rsidRPr="00E61ABE" w:rsidRDefault="008F7BDC"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12. 2. 2004,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2 As 55/2003-37)</w:t>
            </w:r>
          </w:p>
        </w:tc>
      </w:tr>
    </w:tbl>
    <w:p w:rsidR="008F7BDC" w:rsidRPr="00E61ABE" w:rsidRDefault="008F7BDC"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8F7BDC" w:rsidRPr="00E61ABE" w:rsidTr="008F7BDC">
        <w:trPr>
          <w:tblCellSpacing w:w="15" w:type="dxa"/>
        </w:trPr>
        <w:tc>
          <w:tcPr>
            <w:tcW w:w="0" w:type="auto"/>
            <w:vAlign w:val="center"/>
            <w:hideMark/>
          </w:tcPr>
          <w:p w:rsidR="008F7BDC" w:rsidRPr="00E61ABE" w:rsidRDefault="00C25628" w:rsidP="00E61ABE">
            <w:pPr>
              <w:spacing w:after="0" w:line="240" w:lineRule="auto"/>
              <w:rPr>
                <w:rFonts w:ascii="Garamond" w:eastAsia="Times New Roman" w:hAnsi="Garamond" w:cs="Arial"/>
                <w:sz w:val="20"/>
                <w:szCs w:val="20"/>
                <w:lang w:eastAsia="cs-CZ"/>
              </w:rPr>
            </w:pPr>
            <w:hyperlink r:id="rId57" w:history="1">
              <w:r w:rsidR="008F7BDC" w:rsidRPr="00E61ABE">
                <w:rPr>
                  <w:rFonts w:ascii="Garamond" w:eastAsia="Times New Roman" w:hAnsi="Garamond" w:cs="Arial"/>
                  <w:sz w:val="20"/>
                  <w:szCs w:val="20"/>
                  <w:u w:val="single"/>
                  <w:lang w:eastAsia="cs-CZ"/>
                </w:rPr>
                <w:t>Číslo: 2/2005</w:t>
              </w:r>
            </w:hyperlink>
            <w:r w:rsidR="008F7BDC" w:rsidRPr="00E61ABE">
              <w:rPr>
                <w:rFonts w:ascii="Garamond" w:eastAsia="Times New Roman" w:hAnsi="Garamond" w:cs="Arial"/>
                <w:sz w:val="20"/>
                <w:szCs w:val="20"/>
                <w:lang w:eastAsia="cs-CZ"/>
              </w:rPr>
              <w:t> </w:t>
            </w:r>
            <w:r w:rsidR="008F7BDC" w:rsidRPr="00E61ABE">
              <w:rPr>
                <w:rFonts w:ascii="Garamond" w:eastAsia="Times New Roman" w:hAnsi="Garamond" w:cs="Arial"/>
                <w:sz w:val="20"/>
                <w:szCs w:val="20"/>
                <w:lang w:eastAsia="cs-CZ"/>
              </w:rPr>
              <w:br/>
              <w:t>Ročník: 3</w:t>
            </w:r>
          </w:p>
        </w:tc>
      </w:tr>
    </w:tbl>
    <w:p w:rsidR="008F7BDC" w:rsidRPr="00E61ABE" w:rsidRDefault="008F7BDC"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č:453</w:t>
            </w:r>
          </w:p>
        </w:tc>
      </w:tr>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Řízení před soudem: následky nezpůsobilosti být účastníkem řízení</w:t>
            </w:r>
            <w:r w:rsidRPr="00E61ABE">
              <w:rPr>
                <w:rFonts w:ascii="Garamond" w:eastAsia="Times New Roman" w:hAnsi="Garamond" w:cs="Arial"/>
                <w:b/>
                <w:bCs/>
                <w:sz w:val="20"/>
                <w:szCs w:val="20"/>
                <w:lang w:eastAsia="cs-CZ"/>
              </w:rPr>
              <w:br/>
              <w:t>Právo na informace o životním prostředí</w:t>
            </w:r>
          </w:p>
        </w:tc>
      </w:tr>
      <w:tr w:rsidR="008F7BDC" w:rsidRPr="00E61ABE" w:rsidTr="008F7BDC">
        <w:trPr>
          <w:tblCellSpacing w:w="15" w:type="dxa"/>
        </w:trPr>
        <w:tc>
          <w:tcPr>
            <w:tcW w:w="0" w:type="auto"/>
            <w:vAlign w:val="center"/>
            <w:hideMark/>
          </w:tcPr>
          <w:p w:rsidR="00837C05" w:rsidRDefault="008F7BDC"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Právo na informace o životním prostředí (čl. 35 odst. 2 Listiny základních práv a svobod, zákon č. 123/1998 Sb., o</w:t>
            </w:r>
            <w:r w:rsidR="00837C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 xml:space="preserve">právu na informace o životním prostředí) nepřechází na žalobcova právního nástupce. Ztratí-li žalobce za této situace v průběhu řízení způsobilost být jeho účastníkem, soud takovou žalobu pro nedostatek podmínky řízení, která je neodstranitelná a brání pokračování řízení, odmítne podle § 46 odst. 1 písm. a) s. </w:t>
            </w:r>
            <w:proofErr w:type="spellStart"/>
            <w:r w:rsidRPr="00E61ABE">
              <w:rPr>
                <w:rFonts w:ascii="Garamond" w:eastAsia="Times New Roman" w:hAnsi="Garamond" w:cs="Arial"/>
                <w:sz w:val="20"/>
                <w:szCs w:val="20"/>
                <w:lang w:eastAsia="cs-CZ"/>
              </w:rPr>
              <w:t>ř</w:t>
            </w:r>
            <w:proofErr w:type="spellEnd"/>
            <w:r w:rsidRPr="00E61ABE">
              <w:rPr>
                <w:rFonts w:ascii="Garamond" w:eastAsia="Times New Roman" w:hAnsi="Garamond" w:cs="Arial"/>
                <w:sz w:val="20"/>
                <w:szCs w:val="20"/>
                <w:lang w:eastAsia="cs-CZ"/>
              </w:rPr>
              <w:t>. s.</w:t>
            </w:r>
          </w:p>
          <w:p w:rsidR="008F7BDC" w:rsidRPr="00E61ABE" w:rsidRDefault="008F7BDC"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usnesení Nejvyššího správního soudu ze dne 25. 10. 2004,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6 A 93/2001-56)</w:t>
            </w:r>
          </w:p>
        </w:tc>
      </w:tr>
    </w:tbl>
    <w:p w:rsidR="008F7BDC" w:rsidRPr="00E61ABE" w:rsidRDefault="008F7BDC"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8F7BDC" w:rsidRPr="00E61ABE" w:rsidTr="008F7BDC">
        <w:trPr>
          <w:tblCellSpacing w:w="15" w:type="dxa"/>
        </w:trPr>
        <w:tc>
          <w:tcPr>
            <w:tcW w:w="0" w:type="auto"/>
            <w:vAlign w:val="center"/>
            <w:hideMark/>
          </w:tcPr>
          <w:p w:rsidR="008F7BDC" w:rsidRPr="00E61ABE" w:rsidRDefault="00C25628" w:rsidP="00E61ABE">
            <w:pPr>
              <w:spacing w:after="0" w:line="240" w:lineRule="auto"/>
              <w:rPr>
                <w:rFonts w:ascii="Garamond" w:eastAsia="Times New Roman" w:hAnsi="Garamond" w:cs="Arial"/>
                <w:sz w:val="20"/>
                <w:szCs w:val="20"/>
                <w:lang w:eastAsia="cs-CZ"/>
              </w:rPr>
            </w:pPr>
            <w:hyperlink r:id="rId58" w:history="1">
              <w:r w:rsidR="008F7BDC" w:rsidRPr="00E61ABE">
                <w:rPr>
                  <w:rFonts w:ascii="Garamond" w:eastAsia="Times New Roman" w:hAnsi="Garamond" w:cs="Arial"/>
                  <w:sz w:val="20"/>
                  <w:szCs w:val="20"/>
                  <w:u w:val="single"/>
                  <w:lang w:eastAsia="cs-CZ"/>
                </w:rPr>
                <w:t>Číslo: 6/2004</w:t>
              </w:r>
            </w:hyperlink>
            <w:r w:rsidR="008F7BDC" w:rsidRPr="00E61ABE">
              <w:rPr>
                <w:rFonts w:ascii="Garamond" w:eastAsia="Times New Roman" w:hAnsi="Garamond" w:cs="Arial"/>
                <w:sz w:val="20"/>
                <w:szCs w:val="20"/>
                <w:lang w:eastAsia="cs-CZ"/>
              </w:rPr>
              <w:t> </w:t>
            </w:r>
            <w:r w:rsidR="008F7BDC" w:rsidRPr="00E61ABE">
              <w:rPr>
                <w:rFonts w:ascii="Garamond" w:eastAsia="Times New Roman" w:hAnsi="Garamond" w:cs="Arial"/>
                <w:sz w:val="20"/>
                <w:szCs w:val="20"/>
                <w:lang w:eastAsia="cs-CZ"/>
              </w:rPr>
              <w:br/>
              <w:t>Ročník: 2</w:t>
            </w:r>
          </w:p>
        </w:tc>
      </w:tr>
    </w:tbl>
    <w:p w:rsidR="008F7BDC" w:rsidRPr="00E61ABE" w:rsidRDefault="008F7BDC"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č:226</w:t>
            </w:r>
          </w:p>
        </w:tc>
      </w:tr>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poskytování informací ústavními činiteli</w:t>
            </w:r>
          </w:p>
        </w:tc>
      </w:tr>
      <w:tr w:rsidR="008F7BDC" w:rsidRPr="00E61ABE" w:rsidTr="008F7BDC">
        <w:trPr>
          <w:tblCellSpacing w:w="15" w:type="dxa"/>
        </w:trPr>
        <w:tc>
          <w:tcPr>
            <w:tcW w:w="0" w:type="auto"/>
            <w:vAlign w:val="center"/>
            <w:hideMark/>
          </w:tcPr>
          <w:p w:rsidR="00837C05" w:rsidRDefault="008F7BDC"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Žádá-li senátor ministra o poskytnutí informací a vysvětlení potřebných pro výkon své funkce podle § 12 odst. 1 zákona č. 107/1999 Sb., o jednacím řádu Senátu, nevystupuje v tomto vztahu ministr jako vedoucí ústředního orgánu státní správy, který poskytuje informace o činnosti vztahující se k působnosti ministerstva, nýbrž jako člen vlády (ústavní činitel). V této situaci není ministr povinným subjektem ve smyslu § 2 odst. 1 zákona č. 106/1999 Sb., o svobodném přístupu k informacím.</w:t>
            </w:r>
          </w:p>
          <w:p w:rsidR="008F7BDC" w:rsidRPr="00E61ABE" w:rsidRDefault="008F7BDC"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21. 8. 2003,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5 A 159/2002-49)</w:t>
            </w:r>
          </w:p>
        </w:tc>
      </w:tr>
    </w:tbl>
    <w:p w:rsidR="008F7BDC" w:rsidRPr="00E61ABE" w:rsidRDefault="008F7BDC"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8F7BDC" w:rsidRPr="00E61ABE" w:rsidTr="008F7BDC">
        <w:trPr>
          <w:tblCellSpacing w:w="15" w:type="dxa"/>
        </w:trPr>
        <w:tc>
          <w:tcPr>
            <w:tcW w:w="0" w:type="auto"/>
            <w:vAlign w:val="center"/>
            <w:hideMark/>
          </w:tcPr>
          <w:p w:rsidR="008F7BDC" w:rsidRPr="00E61ABE" w:rsidRDefault="00C25628" w:rsidP="00E61ABE">
            <w:pPr>
              <w:spacing w:after="0" w:line="240" w:lineRule="auto"/>
              <w:rPr>
                <w:rFonts w:ascii="Garamond" w:eastAsia="Times New Roman" w:hAnsi="Garamond" w:cs="Arial"/>
                <w:sz w:val="20"/>
                <w:szCs w:val="20"/>
                <w:highlight w:val="yellow"/>
                <w:lang w:eastAsia="cs-CZ"/>
              </w:rPr>
            </w:pPr>
            <w:hyperlink r:id="rId59" w:history="1">
              <w:r w:rsidR="008F7BDC" w:rsidRPr="00E61ABE">
                <w:rPr>
                  <w:rFonts w:ascii="Garamond" w:eastAsia="Times New Roman" w:hAnsi="Garamond" w:cs="Arial"/>
                  <w:sz w:val="20"/>
                  <w:szCs w:val="20"/>
                  <w:highlight w:val="yellow"/>
                  <w:u w:val="single"/>
                  <w:lang w:eastAsia="cs-CZ"/>
                </w:rPr>
                <w:t>Číslo: 5/2004</w:t>
              </w:r>
            </w:hyperlink>
            <w:r w:rsidR="008F7BDC" w:rsidRPr="00E61ABE">
              <w:rPr>
                <w:rFonts w:ascii="Garamond" w:eastAsia="Times New Roman" w:hAnsi="Garamond" w:cs="Arial"/>
                <w:sz w:val="20"/>
                <w:szCs w:val="20"/>
                <w:highlight w:val="yellow"/>
                <w:lang w:eastAsia="cs-CZ"/>
              </w:rPr>
              <w:t> </w:t>
            </w:r>
            <w:r w:rsidR="008F7BDC" w:rsidRPr="00E61ABE">
              <w:rPr>
                <w:rFonts w:ascii="Garamond" w:eastAsia="Times New Roman" w:hAnsi="Garamond" w:cs="Arial"/>
                <w:sz w:val="20"/>
                <w:szCs w:val="20"/>
                <w:highlight w:val="yellow"/>
                <w:lang w:eastAsia="cs-CZ"/>
              </w:rPr>
              <w:br/>
              <w:t>Ročník: 2</w:t>
            </w:r>
          </w:p>
        </w:tc>
      </w:tr>
    </w:tbl>
    <w:p w:rsidR="008F7BDC" w:rsidRPr="00E61ABE" w:rsidRDefault="008F7BDC" w:rsidP="00E61ABE">
      <w:pPr>
        <w:spacing w:after="0" w:line="240" w:lineRule="auto"/>
        <w:rPr>
          <w:rFonts w:ascii="Garamond" w:eastAsia="Times New Roman" w:hAnsi="Garamond"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tblPr>
      <w:tblGrid>
        <w:gridCol w:w="9162"/>
      </w:tblGrid>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Rozhodnutí č:207</w:t>
            </w:r>
          </w:p>
        </w:tc>
      </w:tr>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b/>
                <w:bCs/>
                <w:sz w:val="20"/>
                <w:szCs w:val="20"/>
                <w:highlight w:val="yellow"/>
                <w:lang w:eastAsia="cs-CZ"/>
              </w:rPr>
              <w:lastRenderedPageBreak/>
              <w:t>Právo na informace: obsah výroku fiktivního rozhodnutí</w:t>
            </w:r>
          </w:p>
        </w:tc>
      </w:tr>
      <w:tr w:rsidR="008F7BDC" w:rsidRPr="00E61ABE" w:rsidTr="008F7BDC">
        <w:trPr>
          <w:tblCellSpacing w:w="15" w:type="dxa"/>
        </w:trPr>
        <w:tc>
          <w:tcPr>
            <w:tcW w:w="0" w:type="auto"/>
            <w:vAlign w:val="center"/>
            <w:hideMark/>
          </w:tcPr>
          <w:p w:rsidR="00837C05" w:rsidRDefault="008F7BDC" w:rsidP="00837C05">
            <w:pPr>
              <w:spacing w:after="0" w:line="240" w:lineRule="auto"/>
              <w:jc w:val="both"/>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Obsahem výroku fiktivního rozhodnutí ve smyslu § 16 odst. 3 zákona č. 106/1999 Sb., o svobodném přístupu k</w:t>
            </w:r>
            <w:r w:rsidR="00837C05">
              <w:rPr>
                <w:rFonts w:ascii="Garamond" w:eastAsia="Times New Roman" w:hAnsi="Garamond" w:cs="Arial"/>
                <w:sz w:val="20"/>
                <w:szCs w:val="20"/>
                <w:highlight w:val="yellow"/>
                <w:lang w:eastAsia="cs-CZ"/>
              </w:rPr>
              <w:t> </w:t>
            </w:r>
            <w:r w:rsidRPr="00E61ABE">
              <w:rPr>
                <w:rFonts w:ascii="Garamond" w:eastAsia="Times New Roman" w:hAnsi="Garamond" w:cs="Arial"/>
                <w:sz w:val="20"/>
                <w:szCs w:val="20"/>
                <w:highlight w:val="yellow"/>
                <w:lang w:eastAsia="cs-CZ"/>
              </w:rPr>
              <w:t>informacím, je zamítnutí rozkladu a potvrzení napadeného rozhodnutí správního orgánu I. stupně o odmítnutí poskytnutí informace.</w:t>
            </w:r>
          </w:p>
          <w:p w:rsidR="008F7BDC" w:rsidRPr="00E61ABE" w:rsidRDefault="008F7BDC"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highlight w:val="yellow"/>
                <w:lang w:eastAsia="cs-CZ"/>
              </w:rPr>
              <w:br/>
              <w:t xml:space="preserve">(Podle rozsudku Nejvyššího správního soudu ze dne 29. 7. 2003, </w:t>
            </w:r>
            <w:proofErr w:type="spellStart"/>
            <w:r w:rsidRPr="00E61ABE">
              <w:rPr>
                <w:rFonts w:ascii="Garamond" w:eastAsia="Times New Roman" w:hAnsi="Garamond" w:cs="Arial"/>
                <w:sz w:val="20"/>
                <w:szCs w:val="20"/>
                <w:highlight w:val="yellow"/>
                <w:lang w:eastAsia="cs-CZ"/>
              </w:rPr>
              <w:t>čj</w:t>
            </w:r>
            <w:proofErr w:type="spellEnd"/>
            <w:r w:rsidRPr="00E61ABE">
              <w:rPr>
                <w:rFonts w:ascii="Garamond" w:eastAsia="Times New Roman" w:hAnsi="Garamond" w:cs="Arial"/>
                <w:sz w:val="20"/>
                <w:szCs w:val="20"/>
                <w:highlight w:val="yellow"/>
                <w:lang w:eastAsia="cs-CZ"/>
              </w:rPr>
              <w:t>. 6 A 25/2000-40)</w:t>
            </w:r>
          </w:p>
        </w:tc>
      </w:tr>
    </w:tbl>
    <w:p w:rsidR="008F7BDC" w:rsidRPr="00E61ABE" w:rsidRDefault="008F7BDC"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8F7BDC" w:rsidRPr="00E61ABE" w:rsidTr="008F7BDC">
        <w:trPr>
          <w:tblCellSpacing w:w="15" w:type="dxa"/>
        </w:trPr>
        <w:tc>
          <w:tcPr>
            <w:tcW w:w="0" w:type="auto"/>
            <w:vAlign w:val="center"/>
            <w:hideMark/>
          </w:tcPr>
          <w:p w:rsidR="008F7BDC" w:rsidRPr="00E61ABE" w:rsidRDefault="00C25628" w:rsidP="00E61ABE">
            <w:pPr>
              <w:spacing w:after="0" w:line="240" w:lineRule="auto"/>
              <w:rPr>
                <w:rFonts w:ascii="Garamond" w:eastAsia="Times New Roman" w:hAnsi="Garamond" w:cs="Arial"/>
                <w:sz w:val="20"/>
                <w:szCs w:val="20"/>
                <w:highlight w:val="yellow"/>
                <w:lang w:eastAsia="cs-CZ"/>
              </w:rPr>
            </w:pPr>
            <w:hyperlink r:id="rId60" w:history="1">
              <w:r w:rsidR="008F7BDC" w:rsidRPr="00E61ABE">
                <w:rPr>
                  <w:rFonts w:ascii="Garamond" w:eastAsia="Times New Roman" w:hAnsi="Garamond" w:cs="Arial"/>
                  <w:sz w:val="20"/>
                  <w:szCs w:val="20"/>
                  <w:highlight w:val="yellow"/>
                  <w:u w:val="single"/>
                  <w:lang w:eastAsia="cs-CZ"/>
                </w:rPr>
                <w:t>Číslo: 5/2004</w:t>
              </w:r>
            </w:hyperlink>
            <w:r w:rsidR="008F7BDC" w:rsidRPr="00E61ABE">
              <w:rPr>
                <w:rFonts w:ascii="Garamond" w:eastAsia="Times New Roman" w:hAnsi="Garamond" w:cs="Arial"/>
                <w:sz w:val="20"/>
                <w:szCs w:val="20"/>
                <w:highlight w:val="yellow"/>
                <w:lang w:eastAsia="cs-CZ"/>
              </w:rPr>
              <w:t> </w:t>
            </w:r>
            <w:r w:rsidR="008F7BDC" w:rsidRPr="00E61ABE">
              <w:rPr>
                <w:rFonts w:ascii="Garamond" w:eastAsia="Times New Roman" w:hAnsi="Garamond" w:cs="Arial"/>
                <w:sz w:val="20"/>
                <w:szCs w:val="20"/>
                <w:highlight w:val="yellow"/>
                <w:lang w:eastAsia="cs-CZ"/>
              </w:rPr>
              <w:br/>
              <w:t>Ročník: 2</w:t>
            </w:r>
          </w:p>
        </w:tc>
      </w:tr>
    </w:tbl>
    <w:p w:rsidR="008F7BDC" w:rsidRPr="00E61ABE" w:rsidRDefault="008F7BDC" w:rsidP="00E61ABE">
      <w:pPr>
        <w:spacing w:after="0" w:line="240" w:lineRule="auto"/>
        <w:rPr>
          <w:rFonts w:ascii="Garamond" w:eastAsia="Times New Roman" w:hAnsi="Garamond"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tblPr>
      <w:tblGrid>
        <w:gridCol w:w="9162"/>
      </w:tblGrid>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Rozhodnutí č:204</w:t>
            </w:r>
          </w:p>
        </w:tc>
      </w:tr>
      <w:tr w:rsidR="008F7BDC" w:rsidRPr="00E61ABE" w:rsidTr="008F7BDC">
        <w:trPr>
          <w:tblCellSpacing w:w="15" w:type="dxa"/>
        </w:trPr>
        <w:tc>
          <w:tcPr>
            <w:tcW w:w="0" w:type="auto"/>
            <w:vAlign w:val="center"/>
            <w:hideMark/>
          </w:tcPr>
          <w:p w:rsidR="008F7BDC" w:rsidRPr="00E61ABE" w:rsidRDefault="008F7BDC"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b/>
                <w:bCs/>
                <w:sz w:val="20"/>
                <w:szCs w:val="20"/>
                <w:highlight w:val="yellow"/>
                <w:lang w:eastAsia="cs-CZ"/>
              </w:rPr>
              <w:t>Správní řízení: poskytování informací</w:t>
            </w:r>
          </w:p>
        </w:tc>
      </w:tr>
      <w:tr w:rsidR="008F7BDC" w:rsidRPr="00E61ABE" w:rsidTr="008F7BDC">
        <w:trPr>
          <w:tblCellSpacing w:w="15" w:type="dxa"/>
        </w:trPr>
        <w:tc>
          <w:tcPr>
            <w:tcW w:w="0" w:type="auto"/>
            <w:vAlign w:val="center"/>
            <w:hideMark/>
          </w:tcPr>
          <w:p w:rsidR="00837C05" w:rsidRDefault="008F7BDC" w:rsidP="00837C05">
            <w:pPr>
              <w:spacing w:after="0" w:line="240" w:lineRule="auto"/>
              <w:jc w:val="both"/>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Ustanovení § 23 správního řádu o nahlížení do spisů je zvláštním ustanovením ve vztahu k zákonu č. 106/1999 Sb., o svobodném přístupu k informacím. V případech, na něž se vztahuje § 23 správního řádu, nelze postupovat podle zákona č. 106/1999 Sb., o svobodném přístupu k informacím.</w:t>
            </w:r>
          </w:p>
          <w:p w:rsidR="008F7BDC" w:rsidRPr="00E61ABE" w:rsidRDefault="008F7BDC"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highlight w:val="yellow"/>
                <w:lang w:eastAsia="cs-CZ"/>
              </w:rPr>
              <w:br/>
              <w:t xml:space="preserve">(Podle rozsudku Nejvyššího správního soudu ze dne 27. 1. 2004, </w:t>
            </w:r>
            <w:proofErr w:type="spellStart"/>
            <w:r w:rsidRPr="00E61ABE">
              <w:rPr>
                <w:rFonts w:ascii="Garamond" w:eastAsia="Times New Roman" w:hAnsi="Garamond" w:cs="Arial"/>
                <w:sz w:val="20"/>
                <w:szCs w:val="20"/>
                <w:highlight w:val="yellow"/>
                <w:lang w:eastAsia="cs-CZ"/>
              </w:rPr>
              <w:t>čj</w:t>
            </w:r>
            <w:proofErr w:type="spellEnd"/>
            <w:r w:rsidRPr="00E61ABE">
              <w:rPr>
                <w:rFonts w:ascii="Garamond" w:eastAsia="Times New Roman" w:hAnsi="Garamond" w:cs="Arial"/>
                <w:sz w:val="20"/>
                <w:szCs w:val="20"/>
                <w:highlight w:val="yellow"/>
                <w:lang w:eastAsia="cs-CZ"/>
              </w:rPr>
              <w:t>. 5 A 158/2001-100)</w:t>
            </w:r>
          </w:p>
        </w:tc>
      </w:tr>
    </w:tbl>
    <w:p w:rsidR="008F7BDC" w:rsidRPr="00E61ABE" w:rsidRDefault="008F7BDC"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27444" w:rsidRPr="00E61ABE" w:rsidTr="00B27444">
        <w:trPr>
          <w:tblCellSpacing w:w="15" w:type="dxa"/>
        </w:trPr>
        <w:tc>
          <w:tcPr>
            <w:tcW w:w="0" w:type="auto"/>
            <w:vAlign w:val="center"/>
            <w:hideMark/>
          </w:tcPr>
          <w:p w:rsidR="00B27444" w:rsidRPr="00E61ABE" w:rsidRDefault="00C25628" w:rsidP="00E61ABE">
            <w:pPr>
              <w:spacing w:after="0" w:line="240" w:lineRule="auto"/>
              <w:rPr>
                <w:rFonts w:ascii="Garamond" w:eastAsia="Times New Roman" w:hAnsi="Garamond" w:cs="Arial"/>
                <w:sz w:val="20"/>
                <w:szCs w:val="20"/>
                <w:highlight w:val="yellow"/>
                <w:lang w:eastAsia="cs-CZ"/>
              </w:rPr>
            </w:pPr>
            <w:hyperlink r:id="rId61" w:history="1">
              <w:r w:rsidR="00B27444" w:rsidRPr="00E61ABE">
                <w:rPr>
                  <w:rFonts w:ascii="Garamond" w:eastAsia="Times New Roman" w:hAnsi="Garamond" w:cs="Arial"/>
                  <w:sz w:val="20"/>
                  <w:szCs w:val="20"/>
                  <w:highlight w:val="yellow"/>
                  <w:u w:val="single"/>
                  <w:lang w:eastAsia="cs-CZ"/>
                </w:rPr>
                <w:t>Číslo: 5/2004</w:t>
              </w:r>
            </w:hyperlink>
            <w:r w:rsidR="00B27444" w:rsidRPr="00E61ABE">
              <w:rPr>
                <w:rFonts w:ascii="Garamond" w:eastAsia="Times New Roman" w:hAnsi="Garamond" w:cs="Arial"/>
                <w:sz w:val="20"/>
                <w:szCs w:val="20"/>
                <w:highlight w:val="yellow"/>
                <w:lang w:eastAsia="cs-CZ"/>
              </w:rPr>
              <w:t> </w:t>
            </w:r>
            <w:r w:rsidR="00B27444" w:rsidRPr="00E61ABE">
              <w:rPr>
                <w:rFonts w:ascii="Garamond" w:eastAsia="Times New Roman" w:hAnsi="Garamond" w:cs="Arial"/>
                <w:sz w:val="20"/>
                <w:szCs w:val="20"/>
                <w:highlight w:val="yellow"/>
                <w:lang w:eastAsia="cs-CZ"/>
              </w:rPr>
              <w:br/>
              <w:t>Ročník: 2</w:t>
            </w:r>
          </w:p>
        </w:tc>
      </w:tr>
    </w:tbl>
    <w:p w:rsidR="00B27444" w:rsidRPr="00E61ABE" w:rsidRDefault="00B27444" w:rsidP="00E61ABE">
      <w:pPr>
        <w:spacing w:after="0" w:line="240" w:lineRule="auto"/>
        <w:rPr>
          <w:rFonts w:ascii="Garamond" w:eastAsia="Times New Roman" w:hAnsi="Garamond"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tblPr>
      <w:tblGrid>
        <w:gridCol w:w="9162"/>
      </w:tblGrid>
      <w:tr w:rsidR="00B27444" w:rsidRPr="00E61ABE" w:rsidTr="00B27444">
        <w:trPr>
          <w:tblCellSpacing w:w="15" w:type="dxa"/>
        </w:trPr>
        <w:tc>
          <w:tcPr>
            <w:tcW w:w="0" w:type="auto"/>
            <w:vAlign w:val="center"/>
            <w:hideMark/>
          </w:tcPr>
          <w:p w:rsidR="00B27444" w:rsidRPr="00E61ABE" w:rsidRDefault="00B27444"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Rozhodnutí č:202</w:t>
            </w:r>
          </w:p>
        </w:tc>
      </w:tr>
      <w:tr w:rsidR="00B27444" w:rsidRPr="00E61ABE" w:rsidTr="00B27444">
        <w:trPr>
          <w:tblCellSpacing w:w="15" w:type="dxa"/>
        </w:trPr>
        <w:tc>
          <w:tcPr>
            <w:tcW w:w="0" w:type="auto"/>
            <w:vAlign w:val="center"/>
            <w:hideMark/>
          </w:tcPr>
          <w:p w:rsidR="00B27444" w:rsidRPr="00E61ABE" w:rsidRDefault="00B27444"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b/>
                <w:bCs/>
                <w:sz w:val="20"/>
                <w:szCs w:val="20"/>
                <w:highlight w:val="yellow"/>
                <w:lang w:eastAsia="cs-CZ"/>
              </w:rPr>
              <w:t>Právo na informace: nepřezkoumatelnost fiktivního rozhodnutí</w:t>
            </w:r>
          </w:p>
        </w:tc>
      </w:tr>
      <w:tr w:rsidR="00B27444" w:rsidRPr="00E61ABE" w:rsidTr="00B27444">
        <w:trPr>
          <w:tblCellSpacing w:w="15" w:type="dxa"/>
        </w:trPr>
        <w:tc>
          <w:tcPr>
            <w:tcW w:w="0" w:type="auto"/>
            <w:vAlign w:val="center"/>
            <w:hideMark/>
          </w:tcPr>
          <w:p w:rsidR="00837C05" w:rsidRDefault="00B27444" w:rsidP="00837C05">
            <w:pPr>
              <w:spacing w:after="0" w:line="240" w:lineRule="auto"/>
              <w:jc w:val="both"/>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Fiktivní rozhodnutí o odepření poskytnutí informace (§ 15 odst. 4 zákona č. 106/1999 Sb., o svobodném přístupu k</w:t>
            </w:r>
            <w:r w:rsidR="00837C05">
              <w:rPr>
                <w:rFonts w:ascii="Garamond" w:eastAsia="Times New Roman" w:hAnsi="Garamond" w:cs="Arial"/>
                <w:sz w:val="20"/>
                <w:szCs w:val="20"/>
                <w:highlight w:val="yellow"/>
                <w:lang w:eastAsia="cs-CZ"/>
              </w:rPr>
              <w:t> </w:t>
            </w:r>
            <w:r w:rsidRPr="00E61ABE">
              <w:rPr>
                <w:rFonts w:ascii="Garamond" w:eastAsia="Times New Roman" w:hAnsi="Garamond" w:cs="Arial"/>
                <w:sz w:val="20"/>
                <w:szCs w:val="20"/>
                <w:highlight w:val="yellow"/>
                <w:lang w:eastAsia="cs-CZ"/>
              </w:rPr>
              <w:t xml:space="preserve">informacím), jakož i fiktivní rozhodnutí o zamítnutí odvolání a potvrzení rozhodnutí o odepření poskytnutí informace (§ 16 odst. 3 téhož zákona), jsou ze své povahy nepřezkoumatelná pro nedostatek důvodů [§ 76 odst. 1 písm. a) s. </w:t>
            </w:r>
            <w:proofErr w:type="spellStart"/>
            <w:r w:rsidRPr="00E61ABE">
              <w:rPr>
                <w:rFonts w:ascii="Garamond" w:eastAsia="Times New Roman" w:hAnsi="Garamond" w:cs="Arial"/>
                <w:sz w:val="20"/>
                <w:szCs w:val="20"/>
                <w:highlight w:val="yellow"/>
                <w:lang w:eastAsia="cs-CZ"/>
              </w:rPr>
              <w:t>ř</w:t>
            </w:r>
            <w:proofErr w:type="spellEnd"/>
            <w:r w:rsidRPr="00E61ABE">
              <w:rPr>
                <w:rFonts w:ascii="Garamond" w:eastAsia="Times New Roman" w:hAnsi="Garamond" w:cs="Arial"/>
                <w:sz w:val="20"/>
                <w:szCs w:val="20"/>
                <w:highlight w:val="yellow"/>
                <w:lang w:eastAsia="cs-CZ"/>
              </w:rPr>
              <w:t>. s.].</w:t>
            </w:r>
          </w:p>
          <w:p w:rsidR="00B27444" w:rsidRPr="00E61ABE" w:rsidRDefault="00B2744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highlight w:val="yellow"/>
                <w:lang w:eastAsia="cs-CZ"/>
              </w:rPr>
              <w:br/>
              <w:t xml:space="preserve">(Podle rozsudku Nejvyššího správního soudu ze dne 4. 7. 2003, </w:t>
            </w:r>
            <w:proofErr w:type="spellStart"/>
            <w:r w:rsidRPr="00E61ABE">
              <w:rPr>
                <w:rFonts w:ascii="Garamond" w:eastAsia="Times New Roman" w:hAnsi="Garamond" w:cs="Arial"/>
                <w:sz w:val="20"/>
                <w:szCs w:val="20"/>
                <w:highlight w:val="yellow"/>
                <w:lang w:eastAsia="cs-CZ"/>
              </w:rPr>
              <w:t>čj</w:t>
            </w:r>
            <w:proofErr w:type="spellEnd"/>
            <w:r w:rsidRPr="00E61ABE">
              <w:rPr>
                <w:rFonts w:ascii="Garamond" w:eastAsia="Times New Roman" w:hAnsi="Garamond" w:cs="Arial"/>
                <w:sz w:val="20"/>
                <w:szCs w:val="20"/>
                <w:highlight w:val="yellow"/>
                <w:lang w:eastAsia="cs-CZ"/>
              </w:rPr>
              <w:t>. 6 A 78/2002-39)</w:t>
            </w:r>
          </w:p>
        </w:tc>
      </w:tr>
    </w:tbl>
    <w:p w:rsidR="008F7BDC" w:rsidRPr="00E61ABE" w:rsidRDefault="008F7BDC"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27444" w:rsidRPr="00E61ABE" w:rsidTr="00B27444">
        <w:trPr>
          <w:tblCellSpacing w:w="15" w:type="dxa"/>
        </w:trPr>
        <w:tc>
          <w:tcPr>
            <w:tcW w:w="0" w:type="auto"/>
            <w:vAlign w:val="center"/>
            <w:hideMark/>
          </w:tcPr>
          <w:p w:rsidR="00B27444" w:rsidRPr="00E61ABE" w:rsidRDefault="00C25628" w:rsidP="00E61ABE">
            <w:pPr>
              <w:spacing w:after="0" w:line="240" w:lineRule="auto"/>
              <w:rPr>
                <w:rFonts w:ascii="Garamond" w:eastAsia="Times New Roman" w:hAnsi="Garamond" w:cs="Arial"/>
                <w:sz w:val="20"/>
                <w:szCs w:val="20"/>
                <w:lang w:eastAsia="cs-CZ"/>
              </w:rPr>
            </w:pPr>
            <w:hyperlink r:id="rId62" w:history="1">
              <w:r w:rsidR="00B27444" w:rsidRPr="00E61ABE">
                <w:rPr>
                  <w:rFonts w:ascii="Garamond" w:eastAsia="Times New Roman" w:hAnsi="Garamond" w:cs="Arial"/>
                  <w:sz w:val="20"/>
                  <w:szCs w:val="20"/>
                  <w:u w:val="single"/>
                  <w:lang w:eastAsia="cs-CZ"/>
                </w:rPr>
                <w:t>Číslo: 5/2004</w:t>
              </w:r>
            </w:hyperlink>
            <w:r w:rsidR="00B27444" w:rsidRPr="00E61ABE">
              <w:rPr>
                <w:rFonts w:ascii="Garamond" w:eastAsia="Times New Roman" w:hAnsi="Garamond" w:cs="Arial"/>
                <w:sz w:val="20"/>
                <w:szCs w:val="20"/>
                <w:lang w:eastAsia="cs-CZ"/>
              </w:rPr>
              <w:t> </w:t>
            </w:r>
            <w:r w:rsidR="00B27444" w:rsidRPr="00E61ABE">
              <w:rPr>
                <w:rFonts w:ascii="Garamond" w:eastAsia="Times New Roman" w:hAnsi="Garamond" w:cs="Arial"/>
                <w:sz w:val="20"/>
                <w:szCs w:val="20"/>
                <w:lang w:eastAsia="cs-CZ"/>
              </w:rPr>
              <w:br/>
              <w:t>Ročník: 2</w:t>
            </w:r>
          </w:p>
        </w:tc>
      </w:tr>
    </w:tbl>
    <w:p w:rsidR="00B27444" w:rsidRPr="00E61ABE" w:rsidRDefault="00B27444"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27444" w:rsidRPr="00E61ABE" w:rsidTr="00B27444">
        <w:trPr>
          <w:tblCellSpacing w:w="15" w:type="dxa"/>
        </w:trPr>
        <w:tc>
          <w:tcPr>
            <w:tcW w:w="0" w:type="auto"/>
            <w:vAlign w:val="center"/>
            <w:hideMark/>
          </w:tcPr>
          <w:p w:rsidR="00B27444" w:rsidRPr="00E61ABE" w:rsidRDefault="00B27444"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č:193</w:t>
            </w:r>
          </w:p>
        </w:tc>
      </w:tr>
      <w:tr w:rsidR="00B27444" w:rsidRPr="00E61ABE" w:rsidTr="00B27444">
        <w:trPr>
          <w:tblCellSpacing w:w="15" w:type="dxa"/>
        </w:trPr>
        <w:tc>
          <w:tcPr>
            <w:tcW w:w="0" w:type="auto"/>
            <w:vAlign w:val="center"/>
            <w:hideMark/>
          </w:tcPr>
          <w:p w:rsidR="00B27444" w:rsidRPr="00E61ABE" w:rsidRDefault="00B27444"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odepření poskytnutí osobních údajů</w:t>
            </w:r>
          </w:p>
        </w:tc>
      </w:tr>
      <w:tr w:rsidR="00B27444" w:rsidRPr="00E61ABE" w:rsidTr="00B27444">
        <w:trPr>
          <w:tblCellSpacing w:w="15" w:type="dxa"/>
        </w:trPr>
        <w:tc>
          <w:tcPr>
            <w:tcW w:w="0" w:type="auto"/>
            <w:vAlign w:val="center"/>
            <w:hideMark/>
          </w:tcPr>
          <w:p w:rsidR="00837C05" w:rsidRDefault="00B2744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Za porušení práva na svobodný přístup k informacím nelze považovat odepření poskytnout údaje, které byly dnem 1. 6. 2000, kdy nabyl účinnosti zákon č. 101/2000 Sb., o ochraně osobních údajů a o změně některých zákonů, ustanovením § 2 odst. 3 zákona č. 106/1999 Sb., o svobodném přístupu k informacím, explicitně vyňaty z režimu posledně uvedeného zákona.</w:t>
            </w:r>
          </w:p>
          <w:p w:rsidR="00B27444" w:rsidRPr="00E61ABE" w:rsidRDefault="00B2744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31. 7. 2003,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5 A 135/2001-39)</w:t>
            </w:r>
          </w:p>
        </w:tc>
      </w:tr>
    </w:tbl>
    <w:p w:rsidR="00B27444" w:rsidRPr="00E61ABE" w:rsidRDefault="00B27444"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27444" w:rsidRPr="00E61ABE" w:rsidTr="00B27444">
        <w:trPr>
          <w:tblCellSpacing w:w="15" w:type="dxa"/>
        </w:trPr>
        <w:tc>
          <w:tcPr>
            <w:tcW w:w="0" w:type="auto"/>
            <w:vAlign w:val="center"/>
            <w:hideMark/>
          </w:tcPr>
          <w:p w:rsidR="00B27444" w:rsidRPr="00E61ABE" w:rsidRDefault="00C25628" w:rsidP="00E61ABE">
            <w:pPr>
              <w:spacing w:after="0" w:line="240" w:lineRule="auto"/>
              <w:rPr>
                <w:rFonts w:ascii="Garamond" w:eastAsia="Times New Roman" w:hAnsi="Garamond" w:cs="Arial"/>
                <w:sz w:val="20"/>
                <w:szCs w:val="20"/>
                <w:lang w:eastAsia="cs-CZ"/>
              </w:rPr>
            </w:pPr>
            <w:hyperlink r:id="rId63" w:history="1">
              <w:r w:rsidR="00B27444" w:rsidRPr="00E61ABE">
                <w:rPr>
                  <w:rFonts w:ascii="Garamond" w:eastAsia="Times New Roman" w:hAnsi="Garamond" w:cs="Arial"/>
                  <w:sz w:val="20"/>
                  <w:szCs w:val="20"/>
                  <w:u w:val="single"/>
                  <w:lang w:eastAsia="cs-CZ"/>
                </w:rPr>
                <w:t>Číslo: 2/2004</w:t>
              </w:r>
            </w:hyperlink>
            <w:r w:rsidR="00B27444" w:rsidRPr="00E61ABE">
              <w:rPr>
                <w:rFonts w:ascii="Garamond" w:eastAsia="Times New Roman" w:hAnsi="Garamond" w:cs="Arial"/>
                <w:sz w:val="20"/>
                <w:szCs w:val="20"/>
                <w:lang w:eastAsia="cs-CZ"/>
              </w:rPr>
              <w:t> </w:t>
            </w:r>
            <w:r w:rsidR="00B27444" w:rsidRPr="00E61ABE">
              <w:rPr>
                <w:rFonts w:ascii="Garamond" w:eastAsia="Times New Roman" w:hAnsi="Garamond" w:cs="Arial"/>
                <w:sz w:val="20"/>
                <w:szCs w:val="20"/>
                <w:lang w:eastAsia="cs-CZ"/>
              </w:rPr>
              <w:br/>
              <w:t>Ročník: 2</w:t>
            </w:r>
          </w:p>
        </w:tc>
      </w:tr>
    </w:tbl>
    <w:p w:rsidR="00B27444" w:rsidRPr="00E61ABE" w:rsidRDefault="00B27444"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27444" w:rsidRPr="00E61ABE" w:rsidTr="00B27444">
        <w:trPr>
          <w:tblCellSpacing w:w="15" w:type="dxa"/>
        </w:trPr>
        <w:tc>
          <w:tcPr>
            <w:tcW w:w="0" w:type="auto"/>
            <w:vAlign w:val="center"/>
            <w:hideMark/>
          </w:tcPr>
          <w:p w:rsidR="00B27444" w:rsidRPr="00E61ABE" w:rsidRDefault="00B27444"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č:119</w:t>
            </w:r>
          </w:p>
        </w:tc>
      </w:tr>
      <w:tr w:rsidR="00B27444" w:rsidRPr="00E61ABE" w:rsidTr="00B27444">
        <w:trPr>
          <w:tblCellSpacing w:w="15" w:type="dxa"/>
        </w:trPr>
        <w:tc>
          <w:tcPr>
            <w:tcW w:w="0" w:type="auto"/>
            <w:vAlign w:val="center"/>
            <w:hideMark/>
          </w:tcPr>
          <w:p w:rsidR="00B27444" w:rsidRPr="00E61ABE" w:rsidRDefault="00B27444"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informace o zdravotním stavu</w:t>
            </w:r>
          </w:p>
        </w:tc>
      </w:tr>
      <w:tr w:rsidR="00B27444" w:rsidRPr="00E61ABE" w:rsidTr="00B27444">
        <w:trPr>
          <w:tblCellSpacing w:w="15" w:type="dxa"/>
        </w:trPr>
        <w:tc>
          <w:tcPr>
            <w:tcW w:w="0" w:type="auto"/>
            <w:vAlign w:val="center"/>
            <w:hideMark/>
          </w:tcPr>
          <w:p w:rsidR="00837C05" w:rsidRDefault="00B2744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 Ministerstvo zdravotnictví je sice povinným subjektem pro poskytování informací podle § 2 zákona č. 106/1999 Sb., o svobodném přístupu k informacím, avšak není povinno sdělovat občanu informace o jeho zdravotním stavu, neboť to není předmětem jeho činnosti (§ 69 a § 70 zákona č. 20/1966 Sb., o péči o zdraví lidu).</w:t>
            </w:r>
          </w:p>
          <w:p w:rsidR="00837C05" w:rsidRDefault="00B2744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Státní ani nestátní zdravotnická zařízení nejsou povinnými subjekty dle ustanovení § 2 zákona č. 106/1999 Sb., o</w:t>
            </w:r>
            <w:r w:rsidR="00837C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svobodném přístupu k informacím, a informace o zdravotním stavu proto poskytují pouze v rozsahu stanoveném v</w:t>
            </w:r>
            <w:r w:rsidR="00837C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 23 odst. 1 zákona č. 20/1966 Sb., o péči o zdraví lidu.</w:t>
            </w:r>
          </w:p>
          <w:p w:rsidR="00B27444" w:rsidRPr="00E61ABE" w:rsidRDefault="00B2744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23. 10. 2003,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5 A 68/2000-98)</w:t>
            </w:r>
          </w:p>
        </w:tc>
      </w:tr>
    </w:tbl>
    <w:p w:rsidR="00B27444" w:rsidRPr="00E61ABE" w:rsidRDefault="00B27444"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B27444" w:rsidRPr="00E61ABE" w:rsidTr="00B27444">
        <w:trPr>
          <w:tblCellSpacing w:w="15" w:type="dxa"/>
        </w:trPr>
        <w:tc>
          <w:tcPr>
            <w:tcW w:w="0" w:type="auto"/>
            <w:vAlign w:val="center"/>
            <w:hideMark/>
          </w:tcPr>
          <w:p w:rsidR="00B27444" w:rsidRPr="00E61ABE" w:rsidRDefault="00C25628" w:rsidP="00E61ABE">
            <w:pPr>
              <w:spacing w:after="0" w:line="240" w:lineRule="auto"/>
              <w:rPr>
                <w:rFonts w:ascii="Garamond" w:eastAsia="Times New Roman" w:hAnsi="Garamond" w:cs="Arial"/>
                <w:sz w:val="20"/>
                <w:szCs w:val="20"/>
                <w:lang w:eastAsia="cs-CZ"/>
              </w:rPr>
            </w:pPr>
            <w:hyperlink r:id="rId64" w:history="1">
              <w:r w:rsidR="00B27444" w:rsidRPr="00E61ABE">
                <w:rPr>
                  <w:rFonts w:ascii="Garamond" w:eastAsia="Times New Roman" w:hAnsi="Garamond" w:cs="Arial"/>
                  <w:sz w:val="20"/>
                  <w:szCs w:val="20"/>
                  <w:u w:val="single"/>
                  <w:lang w:eastAsia="cs-CZ"/>
                </w:rPr>
                <w:t>Číslo: 1/2004</w:t>
              </w:r>
            </w:hyperlink>
            <w:r w:rsidR="00B27444" w:rsidRPr="00E61ABE">
              <w:rPr>
                <w:rFonts w:ascii="Garamond" w:eastAsia="Times New Roman" w:hAnsi="Garamond" w:cs="Arial"/>
                <w:sz w:val="20"/>
                <w:szCs w:val="20"/>
                <w:lang w:eastAsia="cs-CZ"/>
              </w:rPr>
              <w:t> </w:t>
            </w:r>
            <w:r w:rsidR="00B27444" w:rsidRPr="00E61ABE">
              <w:rPr>
                <w:rFonts w:ascii="Garamond" w:eastAsia="Times New Roman" w:hAnsi="Garamond" w:cs="Arial"/>
                <w:sz w:val="20"/>
                <w:szCs w:val="20"/>
                <w:lang w:eastAsia="cs-CZ"/>
              </w:rPr>
              <w:br/>
              <w:t>Ročník: 2</w:t>
            </w:r>
          </w:p>
        </w:tc>
      </w:tr>
    </w:tbl>
    <w:p w:rsidR="00B27444" w:rsidRPr="00E61ABE" w:rsidRDefault="00B27444" w:rsidP="00E61ABE">
      <w:pPr>
        <w:spacing w:after="0" w:line="240" w:lineRule="auto"/>
        <w:rPr>
          <w:rFonts w:ascii="Garamond" w:eastAsia="Times New Roman" w:hAnsi="Garamond" w:cs="Arial"/>
          <w:vanish/>
          <w:sz w:val="20"/>
          <w:szCs w:val="20"/>
          <w:lang w:eastAsia="cs-CZ"/>
        </w:rPr>
      </w:pPr>
    </w:p>
    <w:tbl>
      <w:tblPr>
        <w:tblW w:w="0" w:type="auto"/>
        <w:tblCellSpacing w:w="15" w:type="dxa"/>
        <w:tblCellMar>
          <w:top w:w="15" w:type="dxa"/>
          <w:left w:w="15" w:type="dxa"/>
          <w:bottom w:w="15" w:type="dxa"/>
          <w:right w:w="15" w:type="dxa"/>
        </w:tblCellMar>
        <w:tblLook w:val="04A0"/>
      </w:tblPr>
      <w:tblGrid>
        <w:gridCol w:w="9162"/>
      </w:tblGrid>
      <w:tr w:rsidR="00B27444" w:rsidRPr="00E61ABE" w:rsidTr="00B27444">
        <w:trPr>
          <w:tblCellSpacing w:w="15" w:type="dxa"/>
        </w:trPr>
        <w:tc>
          <w:tcPr>
            <w:tcW w:w="0" w:type="auto"/>
            <w:vAlign w:val="center"/>
            <w:hideMark/>
          </w:tcPr>
          <w:p w:rsidR="00B27444" w:rsidRPr="00E61ABE" w:rsidRDefault="00B27444"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Rozhodnutí č:74</w:t>
            </w:r>
          </w:p>
        </w:tc>
      </w:tr>
      <w:tr w:rsidR="00B27444" w:rsidRPr="00E61ABE" w:rsidTr="00B27444">
        <w:trPr>
          <w:tblCellSpacing w:w="15" w:type="dxa"/>
        </w:trPr>
        <w:tc>
          <w:tcPr>
            <w:tcW w:w="0" w:type="auto"/>
            <w:vAlign w:val="center"/>
            <w:hideMark/>
          </w:tcPr>
          <w:p w:rsidR="00B27444" w:rsidRPr="00E61ABE" w:rsidRDefault="00B27444" w:rsidP="00E61ABE">
            <w:pPr>
              <w:spacing w:after="0" w:line="240" w:lineRule="auto"/>
              <w:rPr>
                <w:rFonts w:ascii="Garamond" w:eastAsia="Times New Roman" w:hAnsi="Garamond" w:cs="Arial"/>
                <w:sz w:val="20"/>
                <w:szCs w:val="20"/>
                <w:lang w:eastAsia="cs-CZ"/>
              </w:rPr>
            </w:pPr>
            <w:r w:rsidRPr="00E61ABE">
              <w:rPr>
                <w:rFonts w:ascii="Garamond" w:eastAsia="Times New Roman" w:hAnsi="Garamond" w:cs="Arial"/>
                <w:b/>
                <w:bCs/>
                <w:sz w:val="20"/>
                <w:szCs w:val="20"/>
                <w:lang w:eastAsia="cs-CZ"/>
              </w:rPr>
              <w:t>Právo na informace: pojem „informace“; záloha na náklady spojené s poskytnutím informace</w:t>
            </w:r>
          </w:p>
        </w:tc>
      </w:tr>
      <w:tr w:rsidR="00B27444" w:rsidRPr="00E61ABE" w:rsidTr="00B27444">
        <w:trPr>
          <w:tblCellSpacing w:w="15" w:type="dxa"/>
        </w:trPr>
        <w:tc>
          <w:tcPr>
            <w:tcW w:w="0" w:type="auto"/>
            <w:vAlign w:val="center"/>
            <w:hideMark/>
          </w:tcPr>
          <w:p w:rsidR="00837C05" w:rsidRDefault="00B2744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 xml:space="preserve">I. Záloha podle § 17 odst. 3 zákona č. 106/1999 Sb., o svobodném přístupu k informacím, je předběžným zaplacením poměrné části nebo všech nákladů spojených s vyhledáváním informací, pořízením kopií, opatřením technických nosičů dat a s odesláním informací žadateli (§ 17 odst. 1 zákona č. 106/1999 Sb.); odst. 3 cit. </w:t>
            </w:r>
            <w:proofErr w:type="gramStart"/>
            <w:r w:rsidRPr="00E61ABE">
              <w:rPr>
                <w:rFonts w:ascii="Garamond" w:eastAsia="Times New Roman" w:hAnsi="Garamond" w:cs="Arial"/>
                <w:sz w:val="20"/>
                <w:szCs w:val="20"/>
                <w:lang w:eastAsia="cs-CZ"/>
              </w:rPr>
              <w:t>zákona</w:t>
            </w:r>
            <w:proofErr w:type="gramEnd"/>
            <w:r w:rsidRPr="00E61ABE">
              <w:rPr>
                <w:rFonts w:ascii="Garamond" w:eastAsia="Times New Roman" w:hAnsi="Garamond" w:cs="Arial"/>
                <w:sz w:val="20"/>
                <w:szCs w:val="20"/>
                <w:lang w:eastAsia="cs-CZ"/>
              </w:rPr>
              <w:t xml:space="preserve"> nezakládá právo povinného subjektu požadovat úhrady nebo zálohy i na další úkony povinného subjektu, ale je toliko bližší konkretizací § 17 odst. 1 cit. zákona, když právo povinných subjektů žádat v souvislosti s poskytováním informací úhradu nezbytně vynaložených nákladů doplňuje možností podmínit vydání informací zaplacením této úhrady nebo zálohy.</w:t>
            </w:r>
          </w:p>
          <w:p w:rsidR="00837C05" w:rsidRDefault="00B2744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t>II. Při výkladu pojmu „informace“ ve smyslu zákona č. 106/1999 Sb., o svobodném přístupu k informacím, jenž je realizací čl. 17 odst. 5 Listiny základních práv a svobod, je nutné zvolit takový postup, který ve svých důsledcích fakticky nezužuje rozsah ústavně zaručených práv, jinak by se orgán aplikující právo dostal do rozporu jednak s</w:t>
            </w:r>
            <w:r w:rsidR="00837C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obecnou zásadou výkladu ve prospěch základních práv a svobod a jednak s příkazem šetření smyslu práv a</w:t>
            </w:r>
            <w:r w:rsidR="00837C05">
              <w:rPr>
                <w:rFonts w:ascii="Garamond" w:eastAsia="Times New Roman" w:hAnsi="Garamond" w:cs="Arial"/>
                <w:sz w:val="20"/>
                <w:szCs w:val="20"/>
                <w:lang w:eastAsia="cs-CZ"/>
              </w:rPr>
              <w:t> </w:t>
            </w:r>
            <w:r w:rsidRPr="00E61ABE">
              <w:rPr>
                <w:rFonts w:ascii="Garamond" w:eastAsia="Times New Roman" w:hAnsi="Garamond" w:cs="Arial"/>
                <w:sz w:val="20"/>
                <w:szCs w:val="20"/>
                <w:lang w:eastAsia="cs-CZ"/>
              </w:rPr>
              <w:t>nezneužívání možných omezení (čl. 4 odst. 4 Listiny). Úhradu podle § 17 odst. 1 zák. č. 106/1999 Sb. lze tedy vyžadovat pouze za náklady spojené s vyhledáním informací přímo požadovaných žadatelem, nikoli za náklady vzniklé toliko zjišťováním, zda požadovaná informace bude vůbec poskytnuta.</w:t>
            </w:r>
          </w:p>
          <w:p w:rsidR="00B27444" w:rsidRPr="00E61ABE" w:rsidRDefault="00B2744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lang w:eastAsia="cs-CZ"/>
              </w:rPr>
              <w:br/>
              <w:t xml:space="preserve">(Podle rozsudku Nejvyššího správního soudu ze dne 10. 10. 2003, </w:t>
            </w:r>
            <w:proofErr w:type="spellStart"/>
            <w:r w:rsidRPr="00E61ABE">
              <w:rPr>
                <w:rFonts w:ascii="Garamond" w:eastAsia="Times New Roman" w:hAnsi="Garamond" w:cs="Arial"/>
                <w:sz w:val="20"/>
                <w:szCs w:val="20"/>
                <w:lang w:eastAsia="cs-CZ"/>
              </w:rPr>
              <w:t>čj</w:t>
            </w:r>
            <w:proofErr w:type="spellEnd"/>
            <w:r w:rsidRPr="00E61ABE">
              <w:rPr>
                <w:rFonts w:ascii="Garamond" w:eastAsia="Times New Roman" w:hAnsi="Garamond" w:cs="Arial"/>
                <w:sz w:val="20"/>
                <w:szCs w:val="20"/>
                <w:lang w:eastAsia="cs-CZ"/>
              </w:rPr>
              <w:t>. 5 A 119/2001-38)</w:t>
            </w:r>
          </w:p>
        </w:tc>
      </w:tr>
    </w:tbl>
    <w:p w:rsidR="00B27444" w:rsidRPr="00E61ABE" w:rsidRDefault="00B27444" w:rsidP="00E61ABE">
      <w:pPr>
        <w:rPr>
          <w:rFonts w:ascii="Garamond" w:hAnsi="Garamond"/>
          <w:sz w:val="20"/>
          <w:szCs w:val="20"/>
        </w:rPr>
      </w:pPr>
    </w:p>
    <w:tbl>
      <w:tblPr>
        <w:tblW w:w="0" w:type="auto"/>
        <w:tblCellSpacing w:w="15" w:type="dxa"/>
        <w:tblCellMar>
          <w:top w:w="15" w:type="dxa"/>
          <w:left w:w="15" w:type="dxa"/>
          <w:bottom w:w="15" w:type="dxa"/>
          <w:right w:w="15" w:type="dxa"/>
        </w:tblCellMar>
        <w:tblLook w:val="04A0"/>
      </w:tblPr>
      <w:tblGrid>
        <w:gridCol w:w="1197"/>
      </w:tblGrid>
      <w:tr w:rsidR="00DF79D4" w:rsidRPr="00E61ABE" w:rsidTr="00DF79D4">
        <w:trPr>
          <w:tblCellSpacing w:w="15" w:type="dxa"/>
        </w:trPr>
        <w:tc>
          <w:tcPr>
            <w:tcW w:w="0" w:type="auto"/>
            <w:vAlign w:val="center"/>
            <w:hideMark/>
          </w:tcPr>
          <w:p w:rsidR="00DF79D4" w:rsidRPr="00E61ABE" w:rsidRDefault="00C25628" w:rsidP="00E61ABE">
            <w:pPr>
              <w:spacing w:after="0" w:line="240" w:lineRule="auto"/>
              <w:rPr>
                <w:rFonts w:ascii="Garamond" w:eastAsia="Times New Roman" w:hAnsi="Garamond" w:cs="Arial"/>
                <w:sz w:val="20"/>
                <w:szCs w:val="20"/>
                <w:highlight w:val="yellow"/>
                <w:lang w:eastAsia="cs-CZ"/>
              </w:rPr>
            </w:pPr>
            <w:hyperlink r:id="rId65" w:history="1">
              <w:r w:rsidR="00DF79D4" w:rsidRPr="00E61ABE">
                <w:rPr>
                  <w:rFonts w:ascii="Garamond" w:eastAsia="Times New Roman" w:hAnsi="Garamond" w:cs="Arial"/>
                  <w:sz w:val="20"/>
                  <w:szCs w:val="20"/>
                  <w:highlight w:val="yellow"/>
                  <w:u w:val="single"/>
                  <w:lang w:eastAsia="cs-CZ"/>
                </w:rPr>
                <w:t>Číslo: 1/2003</w:t>
              </w:r>
            </w:hyperlink>
            <w:r w:rsidR="00DF79D4" w:rsidRPr="00E61ABE">
              <w:rPr>
                <w:rFonts w:ascii="Garamond" w:eastAsia="Times New Roman" w:hAnsi="Garamond" w:cs="Arial"/>
                <w:sz w:val="20"/>
                <w:szCs w:val="20"/>
                <w:highlight w:val="yellow"/>
                <w:lang w:eastAsia="cs-CZ"/>
              </w:rPr>
              <w:t> </w:t>
            </w:r>
            <w:r w:rsidR="00DF79D4" w:rsidRPr="00E61ABE">
              <w:rPr>
                <w:rFonts w:ascii="Garamond" w:eastAsia="Times New Roman" w:hAnsi="Garamond" w:cs="Arial"/>
                <w:sz w:val="20"/>
                <w:szCs w:val="20"/>
                <w:highlight w:val="yellow"/>
                <w:lang w:eastAsia="cs-CZ"/>
              </w:rPr>
              <w:br/>
              <w:t>Ročník: 1</w:t>
            </w:r>
          </w:p>
        </w:tc>
      </w:tr>
    </w:tbl>
    <w:p w:rsidR="00DF79D4" w:rsidRPr="00E61ABE" w:rsidRDefault="00DF79D4" w:rsidP="00E61ABE">
      <w:pPr>
        <w:spacing w:after="0" w:line="240" w:lineRule="auto"/>
        <w:rPr>
          <w:rFonts w:ascii="Garamond" w:eastAsia="Times New Roman" w:hAnsi="Garamond" w:cs="Arial"/>
          <w:vanish/>
          <w:sz w:val="20"/>
          <w:szCs w:val="20"/>
          <w:highlight w:val="yellow"/>
          <w:lang w:eastAsia="cs-CZ"/>
        </w:rPr>
      </w:pPr>
    </w:p>
    <w:tbl>
      <w:tblPr>
        <w:tblW w:w="0" w:type="auto"/>
        <w:tblCellSpacing w:w="15" w:type="dxa"/>
        <w:tblCellMar>
          <w:top w:w="15" w:type="dxa"/>
          <w:left w:w="15" w:type="dxa"/>
          <w:bottom w:w="15" w:type="dxa"/>
          <w:right w:w="15" w:type="dxa"/>
        </w:tblCellMar>
        <w:tblLook w:val="04A0"/>
      </w:tblPr>
      <w:tblGrid>
        <w:gridCol w:w="9162"/>
      </w:tblGrid>
      <w:tr w:rsidR="00DF79D4" w:rsidRPr="00E61ABE" w:rsidTr="00DF79D4">
        <w:trPr>
          <w:tblCellSpacing w:w="15" w:type="dxa"/>
        </w:trPr>
        <w:tc>
          <w:tcPr>
            <w:tcW w:w="0" w:type="auto"/>
            <w:vAlign w:val="center"/>
            <w:hideMark/>
          </w:tcPr>
          <w:p w:rsidR="00DF79D4" w:rsidRPr="00E61ABE" w:rsidRDefault="00DF79D4"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Rozhodnutí č:1</w:t>
            </w:r>
          </w:p>
        </w:tc>
      </w:tr>
      <w:tr w:rsidR="00DF79D4" w:rsidRPr="00E61ABE" w:rsidTr="00DF79D4">
        <w:trPr>
          <w:tblCellSpacing w:w="15" w:type="dxa"/>
        </w:trPr>
        <w:tc>
          <w:tcPr>
            <w:tcW w:w="0" w:type="auto"/>
            <w:vAlign w:val="center"/>
            <w:hideMark/>
          </w:tcPr>
          <w:p w:rsidR="00DF79D4" w:rsidRPr="00E61ABE" w:rsidRDefault="00DF79D4" w:rsidP="00E61ABE">
            <w:pPr>
              <w:spacing w:after="0" w:line="240" w:lineRule="auto"/>
              <w:rPr>
                <w:rFonts w:ascii="Garamond" w:eastAsia="Times New Roman" w:hAnsi="Garamond" w:cs="Arial"/>
                <w:sz w:val="20"/>
                <w:szCs w:val="20"/>
                <w:highlight w:val="yellow"/>
                <w:lang w:eastAsia="cs-CZ"/>
              </w:rPr>
            </w:pPr>
            <w:r w:rsidRPr="00E61ABE">
              <w:rPr>
                <w:rFonts w:ascii="Garamond" w:eastAsia="Times New Roman" w:hAnsi="Garamond" w:cs="Arial"/>
                <w:b/>
                <w:bCs/>
                <w:sz w:val="20"/>
                <w:szCs w:val="20"/>
                <w:highlight w:val="yellow"/>
                <w:lang w:eastAsia="cs-CZ"/>
              </w:rPr>
              <w:t>Právo na informace: řízení</w:t>
            </w:r>
          </w:p>
        </w:tc>
      </w:tr>
      <w:tr w:rsidR="00DF79D4" w:rsidRPr="00E61ABE" w:rsidTr="00DF79D4">
        <w:trPr>
          <w:tblCellSpacing w:w="15" w:type="dxa"/>
        </w:trPr>
        <w:tc>
          <w:tcPr>
            <w:tcW w:w="0" w:type="auto"/>
            <w:vAlign w:val="center"/>
            <w:hideMark/>
          </w:tcPr>
          <w:p w:rsidR="00837C05" w:rsidRDefault="00DF79D4" w:rsidP="00837C05">
            <w:pPr>
              <w:spacing w:after="0" w:line="240" w:lineRule="auto"/>
              <w:jc w:val="both"/>
              <w:rPr>
                <w:rFonts w:ascii="Garamond" w:eastAsia="Times New Roman" w:hAnsi="Garamond" w:cs="Arial"/>
                <w:sz w:val="20"/>
                <w:szCs w:val="20"/>
                <w:highlight w:val="yellow"/>
                <w:lang w:eastAsia="cs-CZ"/>
              </w:rPr>
            </w:pPr>
            <w:r w:rsidRPr="00E61ABE">
              <w:rPr>
                <w:rFonts w:ascii="Garamond" w:eastAsia="Times New Roman" w:hAnsi="Garamond" w:cs="Arial"/>
                <w:sz w:val="20"/>
                <w:szCs w:val="20"/>
                <w:highlight w:val="yellow"/>
                <w:lang w:eastAsia="cs-CZ"/>
              </w:rPr>
              <w:t>Lhůta k rozhodnutí o rozkladu podle § 16 odst. 3 zákona č. 106/1999 Sb., o svobodném přístupu k informacím, počíná běžet ode dne doručení rozkladu podatelně ústředního orgánu státní správy. Ode dne následujícího po dni, v</w:t>
            </w:r>
            <w:r w:rsidR="00837C05">
              <w:rPr>
                <w:rFonts w:ascii="Garamond" w:eastAsia="Times New Roman" w:hAnsi="Garamond" w:cs="Arial"/>
                <w:sz w:val="20"/>
                <w:szCs w:val="20"/>
                <w:highlight w:val="yellow"/>
                <w:lang w:eastAsia="cs-CZ"/>
              </w:rPr>
              <w:t> </w:t>
            </w:r>
            <w:r w:rsidRPr="00E61ABE">
              <w:rPr>
                <w:rFonts w:ascii="Garamond" w:eastAsia="Times New Roman" w:hAnsi="Garamond" w:cs="Arial"/>
                <w:sz w:val="20"/>
                <w:szCs w:val="20"/>
                <w:highlight w:val="yellow"/>
                <w:lang w:eastAsia="cs-CZ"/>
              </w:rPr>
              <w:t xml:space="preserve">němž marně uplynula lhůta k rozhodnutí o rozkladu, počala běžet lhůta k podání žaloby podle § 250b odst. 1 o. s. </w:t>
            </w:r>
            <w:proofErr w:type="spellStart"/>
            <w:r w:rsidRPr="00E61ABE">
              <w:rPr>
                <w:rFonts w:ascii="Garamond" w:eastAsia="Times New Roman" w:hAnsi="Garamond" w:cs="Arial"/>
                <w:sz w:val="20"/>
                <w:szCs w:val="20"/>
                <w:highlight w:val="yellow"/>
                <w:lang w:eastAsia="cs-CZ"/>
              </w:rPr>
              <w:t>ř</w:t>
            </w:r>
            <w:proofErr w:type="spellEnd"/>
            <w:r w:rsidRPr="00E61ABE">
              <w:rPr>
                <w:rFonts w:ascii="Garamond" w:eastAsia="Times New Roman" w:hAnsi="Garamond" w:cs="Arial"/>
                <w:sz w:val="20"/>
                <w:szCs w:val="20"/>
                <w:highlight w:val="yellow"/>
                <w:lang w:eastAsia="cs-CZ"/>
              </w:rPr>
              <w:t>. ve znění účinném do 31. 12. 2002.</w:t>
            </w:r>
          </w:p>
          <w:p w:rsidR="00DF79D4" w:rsidRPr="00E61ABE" w:rsidRDefault="00DF79D4" w:rsidP="00837C05">
            <w:pPr>
              <w:spacing w:after="0" w:line="240" w:lineRule="auto"/>
              <w:jc w:val="both"/>
              <w:rPr>
                <w:rFonts w:ascii="Garamond" w:eastAsia="Times New Roman" w:hAnsi="Garamond" w:cs="Arial"/>
                <w:sz w:val="20"/>
                <w:szCs w:val="20"/>
                <w:lang w:eastAsia="cs-CZ"/>
              </w:rPr>
            </w:pPr>
            <w:r w:rsidRPr="00E61ABE">
              <w:rPr>
                <w:rFonts w:ascii="Garamond" w:eastAsia="Times New Roman" w:hAnsi="Garamond" w:cs="Arial"/>
                <w:sz w:val="20"/>
                <w:szCs w:val="20"/>
                <w:highlight w:val="yellow"/>
                <w:lang w:eastAsia="cs-CZ"/>
              </w:rPr>
              <w:br/>
              <w:t xml:space="preserve">(Podle usnesení Nejvyššího správního soudu ze dne 21. 5. 2003, </w:t>
            </w:r>
            <w:proofErr w:type="spellStart"/>
            <w:r w:rsidRPr="00E61ABE">
              <w:rPr>
                <w:rFonts w:ascii="Garamond" w:eastAsia="Times New Roman" w:hAnsi="Garamond" w:cs="Arial"/>
                <w:sz w:val="20"/>
                <w:szCs w:val="20"/>
                <w:highlight w:val="yellow"/>
                <w:lang w:eastAsia="cs-CZ"/>
              </w:rPr>
              <w:t>čj</w:t>
            </w:r>
            <w:proofErr w:type="spellEnd"/>
            <w:r w:rsidRPr="00E61ABE">
              <w:rPr>
                <w:rFonts w:ascii="Garamond" w:eastAsia="Times New Roman" w:hAnsi="Garamond" w:cs="Arial"/>
                <w:sz w:val="20"/>
                <w:szCs w:val="20"/>
                <w:highlight w:val="yellow"/>
                <w:lang w:eastAsia="cs-CZ"/>
              </w:rPr>
              <w:t>. 7 A 130/2001-39)</w:t>
            </w:r>
          </w:p>
        </w:tc>
      </w:tr>
    </w:tbl>
    <w:p w:rsidR="00B27444" w:rsidRPr="00E61ABE" w:rsidRDefault="00B27444" w:rsidP="00E61ABE">
      <w:pPr>
        <w:rPr>
          <w:rFonts w:ascii="Garamond" w:hAnsi="Garamond"/>
          <w:sz w:val="20"/>
          <w:szCs w:val="20"/>
        </w:rPr>
      </w:pPr>
    </w:p>
    <w:p w:rsidR="00AA2F4E" w:rsidRPr="00C84E8F" w:rsidRDefault="00AA2F4E" w:rsidP="00AA2F4E">
      <w:pPr>
        <w:rPr>
          <w:rFonts w:ascii="Garamond" w:hAnsi="Garamond"/>
          <w:b/>
          <w:sz w:val="28"/>
          <w:szCs w:val="20"/>
          <w:u w:val="single"/>
        </w:rPr>
      </w:pPr>
      <w:r w:rsidRPr="00C84E8F">
        <w:rPr>
          <w:rFonts w:ascii="Garamond" w:hAnsi="Garamond"/>
          <w:b/>
          <w:sz w:val="28"/>
          <w:szCs w:val="20"/>
          <w:u w:val="single"/>
        </w:rPr>
        <w:t>Z dopisu MVČR</w:t>
      </w:r>
    </w:p>
    <w:p w:rsidR="00AA2F4E" w:rsidRPr="00E61ABE" w:rsidRDefault="00AA2F4E" w:rsidP="00AA2F4E">
      <w:pPr>
        <w:rPr>
          <w:rFonts w:ascii="Garamond" w:hAnsi="Garamond"/>
          <w:b/>
          <w:sz w:val="20"/>
          <w:szCs w:val="20"/>
        </w:rPr>
      </w:pPr>
      <w:r w:rsidRPr="00E61ABE">
        <w:rPr>
          <w:rFonts w:ascii="Garamond" w:hAnsi="Garamond"/>
          <w:b/>
          <w:sz w:val="20"/>
          <w:szCs w:val="20"/>
        </w:rPr>
        <w:t>Rozsudek NSS z </w:t>
      </w:r>
      <w:proofErr w:type="gramStart"/>
      <w:r w:rsidRPr="00E61ABE">
        <w:rPr>
          <w:rFonts w:ascii="Garamond" w:hAnsi="Garamond"/>
          <w:b/>
          <w:sz w:val="20"/>
          <w:szCs w:val="20"/>
        </w:rPr>
        <w:t>23.</w:t>
      </w:r>
      <w:r w:rsidR="007F43E6">
        <w:rPr>
          <w:rFonts w:ascii="Garamond" w:hAnsi="Garamond"/>
          <w:b/>
          <w:sz w:val="20"/>
          <w:szCs w:val="20"/>
        </w:rPr>
        <w:t>0</w:t>
      </w:r>
      <w:r w:rsidRPr="00E61ABE">
        <w:rPr>
          <w:rFonts w:ascii="Garamond" w:hAnsi="Garamond"/>
          <w:b/>
          <w:sz w:val="20"/>
          <w:szCs w:val="20"/>
        </w:rPr>
        <w:t>9.2010</w:t>
      </w:r>
      <w:proofErr w:type="gramEnd"/>
      <w:r w:rsidRPr="00E61ABE">
        <w:rPr>
          <w:rFonts w:ascii="Garamond" w:hAnsi="Garamond"/>
          <w:b/>
          <w:sz w:val="20"/>
          <w:szCs w:val="20"/>
        </w:rPr>
        <w:t xml:space="preserve">, </w:t>
      </w:r>
      <w:proofErr w:type="spellStart"/>
      <w:r w:rsidRPr="00E61ABE">
        <w:rPr>
          <w:rFonts w:ascii="Garamond" w:hAnsi="Garamond"/>
          <w:b/>
          <w:sz w:val="20"/>
          <w:szCs w:val="20"/>
        </w:rPr>
        <w:t>čj</w:t>
      </w:r>
      <w:proofErr w:type="spellEnd"/>
      <w:r w:rsidRPr="00E61ABE">
        <w:rPr>
          <w:rFonts w:ascii="Garamond" w:hAnsi="Garamond"/>
          <w:b/>
          <w:sz w:val="20"/>
          <w:szCs w:val="20"/>
        </w:rPr>
        <w:t>. 4 As 23/2010-61</w:t>
      </w:r>
    </w:p>
    <w:p w:rsidR="00AA2F4E" w:rsidRPr="00E61ABE" w:rsidRDefault="00AA2F4E" w:rsidP="00837C05">
      <w:pPr>
        <w:jc w:val="both"/>
        <w:rPr>
          <w:rFonts w:ascii="Garamond" w:hAnsi="Garamond"/>
          <w:sz w:val="20"/>
          <w:szCs w:val="20"/>
        </w:rPr>
      </w:pPr>
      <w:r w:rsidRPr="00E61ABE">
        <w:rPr>
          <w:rFonts w:ascii="Garamond" w:hAnsi="Garamond"/>
          <w:sz w:val="20"/>
          <w:szCs w:val="20"/>
        </w:rPr>
        <w:t>Žádosti, v nichž se žadatelé domáhají poskytnutí informací, které neexistují, a žádosti o vytvoření nové informace, o</w:t>
      </w:r>
      <w:r w:rsidR="00837C05">
        <w:rPr>
          <w:rFonts w:ascii="Garamond" w:hAnsi="Garamond"/>
          <w:sz w:val="20"/>
          <w:szCs w:val="20"/>
        </w:rPr>
        <w:t> </w:t>
      </w:r>
      <w:r w:rsidRPr="00E61ABE">
        <w:rPr>
          <w:rFonts w:ascii="Garamond" w:hAnsi="Garamond"/>
          <w:sz w:val="20"/>
          <w:szCs w:val="20"/>
        </w:rPr>
        <w:t xml:space="preserve">sdělení budoucího rozhodnutí nebo o sdělení názoru povinného subjektu ve smyslu </w:t>
      </w:r>
      <w:proofErr w:type="spellStart"/>
      <w:r w:rsidRPr="00E61ABE">
        <w:rPr>
          <w:rFonts w:ascii="Garamond" w:hAnsi="Garamond"/>
          <w:sz w:val="20"/>
          <w:szCs w:val="20"/>
        </w:rPr>
        <w:t>ust</w:t>
      </w:r>
      <w:proofErr w:type="spellEnd"/>
      <w:r w:rsidRPr="00E61ABE">
        <w:rPr>
          <w:rFonts w:ascii="Garamond" w:hAnsi="Garamond"/>
          <w:sz w:val="20"/>
          <w:szCs w:val="20"/>
        </w:rPr>
        <w:t xml:space="preserve">. § 2 odst. 4 </w:t>
      </w:r>
      <w:proofErr w:type="spellStart"/>
      <w:r w:rsidRPr="00E61ABE">
        <w:rPr>
          <w:rFonts w:ascii="Garamond" w:hAnsi="Garamond"/>
          <w:sz w:val="20"/>
          <w:szCs w:val="20"/>
        </w:rPr>
        <w:t>InfZ</w:t>
      </w:r>
      <w:proofErr w:type="spellEnd"/>
      <w:r w:rsidRPr="00E61ABE">
        <w:rPr>
          <w:rFonts w:ascii="Garamond" w:hAnsi="Garamond"/>
          <w:sz w:val="20"/>
          <w:szCs w:val="20"/>
        </w:rPr>
        <w:t xml:space="preserve">, musejí být v případě nevyhovění požadavku vyřízení odmítnutím podle </w:t>
      </w:r>
      <w:proofErr w:type="spellStart"/>
      <w:r w:rsidRPr="00E61ABE">
        <w:rPr>
          <w:rFonts w:ascii="Garamond" w:hAnsi="Garamond"/>
          <w:sz w:val="20"/>
          <w:szCs w:val="20"/>
        </w:rPr>
        <w:t>ust</w:t>
      </w:r>
      <w:proofErr w:type="spellEnd"/>
      <w:r w:rsidRPr="00E61ABE">
        <w:rPr>
          <w:rFonts w:ascii="Garamond" w:hAnsi="Garamond"/>
          <w:sz w:val="20"/>
          <w:szCs w:val="20"/>
        </w:rPr>
        <w:t xml:space="preserve">. § 15 </w:t>
      </w:r>
      <w:proofErr w:type="spellStart"/>
      <w:r w:rsidRPr="00E61ABE">
        <w:rPr>
          <w:rFonts w:ascii="Garamond" w:hAnsi="Garamond"/>
          <w:sz w:val="20"/>
          <w:szCs w:val="20"/>
        </w:rPr>
        <w:t>InfZ</w:t>
      </w:r>
      <w:proofErr w:type="spellEnd"/>
      <w:r w:rsidRPr="00E61ABE">
        <w:rPr>
          <w:rFonts w:ascii="Garamond" w:hAnsi="Garamond"/>
          <w:sz w:val="20"/>
          <w:szCs w:val="20"/>
        </w:rPr>
        <w:t>.</w:t>
      </w:r>
    </w:p>
    <w:p w:rsidR="007F43E6" w:rsidRDefault="007F43E6" w:rsidP="00E61ABE">
      <w:pPr>
        <w:rPr>
          <w:rFonts w:ascii="Garamond" w:hAnsi="Garamond"/>
          <w:b/>
          <w:sz w:val="20"/>
          <w:szCs w:val="20"/>
          <w:u w:val="single"/>
        </w:rPr>
      </w:pPr>
    </w:p>
    <w:p w:rsidR="00B43CB8" w:rsidRPr="007F43E6" w:rsidRDefault="007F43E6" w:rsidP="00E61ABE">
      <w:pPr>
        <w:rPr>
          <w:rFonts w:ascii="Garamond" w:hAnsi="Garamond"/>
          <w:b/>
          <w:sz w:val="28"/>
          <w:szCs w:val="20"/>
          <w:u w:val="single"/>
        </w:rPr>
      </w:pPr>
      <w:r w:rsidRPr="007F43E6">
        <w:rPr>
          <w:rFonts w:ascii="Garamond" w:hAnsi="Garamond"/>
          <w:b/>
          <w:sz w:val="28"/>
          <w:szCs w:val="20"/>
          <w:u w:val="single"/>
        </w:rPr>
        <w:t>Platy zaměstnanců povinných subjektů</w:t>
      </w:r>
    </w:p>
    <w:p w:rsidR="007F43E6" w:rsidRPr="007F43E6" w:rsidRDefault="007F43E6" w:rsidP="00E61ABE">
      <w:pPr>
        <w:rPr>
          <w:rFonts w:ascii="Garamond" w:hAnsi="Garamond"/>
          <w:b/>
          <w:sz w:val="20"/>
          <w:szCs w:val="20"/>
        </w:rPr>
      </w:pPr>
      <w:r>
        <w:rPr>
          <w:rFonts w:ascii="Garamond" w:hAnsi="Garamond"/>
          <w:b/>
          <w:sz w:val="20"/>
          <w:szCs w:val="20"/>
        </w:rPr>
        <w:t>R</w:t>
      </w:r>
      <w:r w:rsidRPr="007F43E6">
        <w:rPr>
          <w:rFonts w:ascii="Garamond" w:hAnsi="Garamond"/>
          <w:b/>
          <w:sz w:val="20"/>
          <w:szCs w:val="20"/>
        </w:rPr>
        <w:t>ozsud</w:t>
      </w:r>
      <w:r>
        <w:rPr>
          <w:rFonts w:ascii="Garamond" w:hAnsi="Garamond"/>
          <w:b/>
          <w:sz w:val="20"/>
          <w:szCs w:val="20"/>
        </w:rPr>
        <w:t>e</w:t>
      </w:r>
      <w:r w:rsidRPr="007F43E6">
        <w:rPr>
          <w:rFonts w:ascii="Garamond" w:hAnsi="Garamond"/>
          <w:b/>
          <w:sz w:val="20"/>
          <w:szCs w:val="20"/>
        </w:rPr>
        <w:t>k N</w:t>
      </w:r>
      <w:r>
        <w:rPr>
          <w:rFonts w:ascii="Garamond" w:hAnsi="Garamond"/>
          <w:b/>
          <w:sz w:val="20"/>
          <w:szCs w:val="20"/>
        </w:rPr>
        <w:t>SS</w:t>
      </w:r>
      <w:r w:rsidRPr="007F43E6">
        <w:rPr>
          <w:rFonts w:ascii="Garamond" w:hAnsi="Garamond"/>
          <w:b/>
          <w:sz w:val="20"/>
          <w:szCs w:val="20"/>
        </w:rPr>
        <w:t xml:space="preserve"> z </w:t>
      </w:r>
      <w:proofErr w:type="gramStart"/>
      <w:r w:rsidRPr="007F43E6">
        <w:rPr>
          <w:rFonts w:ascii="Garamond" w:hAnsi="Garamond"/>
          <w:b/>
          <w:sz w:val="20"/>
          <w:szCs w:val="20"/>
        </w:rPr>
        <w:t>27.05.2011</w:t>
      </w:r>
      <w:proofErr w:type="gramEnd"/>
      <w:r w:rsidRPr="007F43E6">
        <w:rPr>
          <w:rFonts w:ascii="Garamond" w:hAnsi="Garamond"/>
          <w:b/>
          <w:sz w:val="20"/>
          <w:szCs w:val="20"/>
        </w:rPr>
        <w:t xml:space="preserve">, </w:t>
      </w:r>
      <w:proofErr w:type="spellStart"/>
      <w:r w:rsidRPr="007F43E6">
        <w:rPr>
          <w:rFonts w:ascii="Garamond" w:hAnsi="Garamond"/>
          <w:b/>
          <w:sz w:val="20"/>
          <w:szCs w:val="20"/>
        </w:rPr>
        <w:t>čj</w:t>
      </w:r>
      <w:proofErr w:type="spellEnd"/>
      <w:r w:rsidRPr="007F43E6">
        <w:rPr>
          <w:rFonts w:ascii="Garamond" w:hAnsi="Garamond"/>
          <w:b/>
          <w:sz w:val="20"/>
          <w:szCs w:val="20"/>
        </w:rPr>
        <w:t>. 5 As 57/2010 - 79</w:t>
      </w:r>
    </w:p>
    <w:tbl>
      <w:tblPr>
        <w:tblW w:w="0" w:type="auto"/>
        <w:tblCellSpacing w:w="15" w:type="dxa"/>
        <w:tblCellMar>
          <w:top w:w="15" w:type="dxa"/>
          <w:left w:w="15" w:type="dxa"/>
          <w:bottom w:w="15" w:type="dxa"/>
          <w:right w:w="15" w:type="dxa"/>
        </w:tblCellMar>
        <w:tblLook w:val="04A0"/>
      </w:tblPr>
      <w:tblGrid>
        <w:gridCol w:w="9162"/>
      </w:tblGrid>
      <w:tr w:rsidR="007F43E6" w:rsidRPr="007F43E6" w:rsidTr="007F43E6">
        <w:trPr>
          <w:tblCellSpacing w:w="15" w:type="dxa"/>
        </w:trPr>
        <w:tc>
          <w:tcPr>
            <w:tcW w:w="0" w:type="auto"/>
            <w:vAlign w:val="center"/>
            <w:hideMark/>
          </w:tcPr>
          <w:p w:rsidR="007F43E6" w:rsidRPr="007F43E6" w:rsidRDefault="007F43E6" w:rsidP="00837C05">
            <w:pPr>
              <w:spacing w:after="0" w:line="240" w:lineRule="auto"/>
              <w:jc w:val="both"/>
              <w:rPr>
                <w:rFonts w:ascii="Garamond" w:hAnsi="Garamond"/>
                <w:sz w:val="20"/>
                <w:szCs w:val="20"/>
              </w:rPr>
            </w:pPr>
            <w:r w:rsidRPr="007F43E6">
              <w:rPr>
                <w:rFonts w:ascii="Garamond" w:hAnsi="Garamond"/>
                <w:sz w:val="20"/>
                <w:szCs w:val="20"/>
              </w:rPr>
              <w:t>Zaměstnanec, jemuž je odměna za práci (plat) vyplácena z veřejných rozpočtů, je příjemcem veřejných prostředků podle § 8b odst. 1 zákona č. 106/1999 Sb., o svobodném přístupu k informacím. Informace o konkrétní odměně takového konkrétního zaměstnance, a to včetně její výše, je proto povinný subjekt povinen poskytnout v rozsahu vymezeném § 8b odst. 3 citovaného zákona.</w:t>
            </w:r>
          </w:p>
        </w:tc>
      </w:tr>
      <w:tr w:rsidR="007F43E6" w:rsidRPr="007F43E6" w:rsidTr="007F43E6">
        <w:trPr>
          <w:tblCellSpacing w:w="15" w:type="dxa"/>
        </w:trPr>
        <w:tc>
          <w:tcPr>
            <w:tcW w:w="0" w:type="auto"/>
            <w:vAlign w:val="center"/>
            <w:hideMark/>
          </w:tcPr>
          <w:p w:rsidR="007F43E6" w:rsidRPr="007F43E6" w:rsidRDefault="007F43E6" w:rsidP="007F43E6">
            <w:pPr>
              <w:spacing w:after="0" w:line="240" w:lineRule="auto"/>
              <w:rPr>
                <w:rFonts w:ascii="Garamond" w:hAnsi="Garamond"/>
                <w:sz w:val="20"/>
                <w:szCs w:val="20"/>
              </w:rPr>
            </w:pPr>
          </w:p>
        </w:tc>
      </w:tr>
    </w:tbl>
    <w:p w:rsidR="007F43E6" w:rsidRDefault="007F43E6" w:rsidP="00E61ABE">
      <w:pPr>
        <w:rPr>
          <w:rFonts w:ascii="Garamond" w:hAnsi="Garamond"/>
          <w:sz w:val="20"/>
          <w:szCs w:val="20"/>
        </w:rPr>
      </w:pPr>
    </w:p>
    <w:p w:rsidR="007F43E6" w:rsidRDefault="007F43E6" w:rsidP="007F43E6">
      <w:pPr>
        <w:rPr>
          <w:rFonts w:ascii="Garamond" w:hAnsi="Garamond"/>
          <w:b/>
          <w:sz w:val="20"/>
          <w:szCs w:val="20"/>
        </w:rPr>
      </w:pPr>
      <w:r>
        <w:rPr>
          <w:rFonts w:ascii="Garamond" w:hAnsi="Garamond"/>
          <w:b/>
          <w:sz w:val="20"/>
          <w:szCs w:val="20"/>
        </w:rPr>
        <w:t>R</w:t>
      </w:r>
      <w:r w:rsidRPr="007F43E6">
        <w:rPr>
          <w:rFonts w:ascii="Garamond" w:hAnsi="Garamond"/>
          <w:b/>
          <w:sz w:val="20"/>
          <w:szCs w:val="20"/>
        </w:rPr>
        <w:t>ozsud</w:t>
      </w:r>
      <w:r>
        <w:rPr>
          <w:rFonts w:ascii="Garamond" w:hAnsi="Garamond"/>
          <w:b/>
          <w:sz w:val="20"/>
          <w:szCs w:val="20"/>
        </w:rPr>
        <w:t>e</w:t>
      </w:r>
      <w:r w:rsidRPr="007F43E6">
        <w:rPr>
          <w:rFonts w:ascii="Garamond" w:hAnsi="Garamond"/>
          <w:b/>
          <w:sz w:val="20"/>
          <w:szCs w:val="20"/>
        </w:rPr>
        <w:t>k N</w:t>
      </w:r>
      <w:r>
        <w:rPr>
          <w:rFonts w:ascii="Garamond" w:hAnsi="Garamond"/>
          <w:b/>
          <w:sz w:val="20"/>
          <w:szCs w:val="20"/>
        </w:rPr>
        <w:t>SS</w:t>
      </w:r>
      <w:r w:rsidRPr="007F43E6">
        <w:rPr>
          <w:rFonts w:ascii="Garamond" w:hAnsi="Garamond"/>
          <w:b/>
          <w:sz w:val="20"/>
          <w:szCs w:val="20"/>
        </w:rPr>
        <w:t xml:space="preserve"> z </w:t>
      </w:r>
      <w:proofErr w:type="gramStart"/>
      <w:r>
        <w:rPr>
          <w:rFonts w:ascii="Garamond" w:hAnsi="Garamond"/>
          <w:b/>
          <w:sz w:val="20"/>
          <w:szCs w:val="20"/>
        </w:rPr>
        <w:t>11</w:t>
      </w:r>
      <w:r w:rsidRPr="007F43E6">
        <w:rPr>
          <w:rFonts w:ascii="Garamond" w:hAnsi="Garamond"/>
          <w:b/>
          <w:sz w:val="20"/>
          <w:szCs w:val="20"/>
        </w:rPr>
        <w:t>.</w:t>
      </w:r>
      <w:r>
        <w:rPr>
          <w:rFonts w:ascii="Garamond" w:hAnsi="Garamond"/>
          <w:b/>
          <w:sz w:val="20"/>
          <w:szCs w:val="20"/>
        </w:rPr>
        <w:t>11</w:t>
      </w:r>
      <w:r w:rsidRPr="007F43E6">
        <w:rPr>
          <w:rFonts w:ascii="Garamond" w:hAnsi="Garamond"/>
          <w:b/>
          <w:sz w:val="20"/>
          <w:szCs w:val="20"/>
        </w:rPr>
        <w:t>.2011</w:t>
      </w:r>
      <w:proofErr w:type="gramEnd"/>
      <w:r w:rsidRPr="007F43E6">
        <w:rPr>
          <w:rFonts w:ascii="Garamond" w:hAnsi="Garamond"/>
          <w:b/>
          <w:sz w:val="20"/>
          <w:szCs w:val="20"/>
        </w:rPr>
        <w:t xml:space="preserve">, </w:t>
      </w:r>
      <w:proofErr w:type="spellStart"/>
      <w:r w:rsidRPr="007F43E6">
        <w:rPr>
          <w:rFonts w:ascii="Garamond" w:hAnsi="Garamond"/>
          <w:b/>
          <w:sz w:val="20"/>
          <w:szCs w:val="20"/>
        </w:rPr>
        <w:t>čj</w:t>
      </w:r>
      <w:proofErr w:type="spellEnd"/>
      <w:r w:rsidRPr="007F43E6">
        <w:rPr>
          <w:rFonts w:ascii="Garamond" w:hAnsi="Garamond"/>
          <w:b/>
          <w:sz w:val="20"/>
          <w:szCs w:val="20"/>
        </w:rPr>
        <w:t xml:space="preserve">. </w:t>
      </w:r>
      <w:r>
        <w:rPr>
          <w:rFonts w:ascii="Garamond" w:hAnsi="Garamond"/>
          <w:b/>
          <w:sz w:val="20"/>
          <w:szCs w:val="20"/>
        </w:rPr>
        <w:t>4</w:t>
      </w:r>
      <w:r w:rsidRPr="007F43E6">
        <w:rPr>
          <w:rFonts w:ascii="Garamond" w:hAnsi="Garamond"/>
          <w:b/>
          <w:sz w:val="20"/>
          <w:szCs w:val="20"/>
        </w:rPr>
        <w:t xml:space="preserve"> As </w:t>
      </w:r>
      <w:r>
        <w:rPr>
          <w:rFonts w:ascii="Garamond" w:hAnsi="Garamond"/>
          <w:b/>
          <w:sz w:val="20"/>
          <w:szCs w:val="20"/>
        </w:rPr>
        <w:t>40</w:t>
      </w:r>
      <w:r w:rsidRPr="007F43E6">
        <w:rPr>
          <w:rFonts w:ascii="Garamond" w:hAnsi="Garamond"/>
          <w:b/>
          <w:sz w:val="20"/>
          <w:szCs w:val="20"/>
        </w:rPr>
        <w:t xml:space="preserve">/2010 </w:t>
      </w:r>
      <w:r>
        <w:rPr>
          <w:rFonts w:ascii="Garamond" w:hAnsi="Garamond"/>
          <w:b/>
          <w:sz w:val="20"/>
          <w:szCs w:val="20"/>
        </w:rPr>
        <w:t>–</w:t>
      </w:r>
      <w:r w:rsidRPr="007F43E6">
        <w:rPr>
          <w:rFonts w:ascii="Garamond" w:hAnsi="Garamond"/>
          <w:b/>
          <w:sz w:val="20"/>
          <w:szCs w:val="20"/>
        </w:rPr>
        <w:t xml:space="preserve"> </w:t>
      </w:r>
      <w:r>
        <w:rPr>
          <w:rFonts w:ascii="Garamond" w:hAnsi="Garamond"/>
          <w:b/>
          <w:sz w:val="20"/>
          <w:szCs w:val="20"/>
        </w:rPr>
        <w:t>60</w:t>
      </w:r>
    </w:p>
    <w:p w:rsidR="007F43E6" w:rsidRDefault="007F43E6" w:rsidP="007F43E6">
      <w:pPr>
        <w:rPr>
          <w:rFonts w:ascii="Garamond" w:hAnsi="Garamond"/>
          <w:b/>
          <w:sz w:val="20"/>
          <w:szCs w:val="20"/>
        </w:rPr>
      </w:pPr>
    </w:p>
    <w:p w:rsidR="007F43E6" w:rsidRDefault="007F43E6" w:rsidP="007F43E6">
      <w:pPr>
        <w:rPr>
          <w:rFonts w:ascii="Garamond" w:hAnsi="Garamond"/>
          <w:b/>
          <w:sz w:val="20"/>
          <w:szCs w:val="20"/>
        </w:rPr>
      </w:pPr>
      <w:r>
        <w:rPr>
          <w:rFonts w:ascii="Garamond" w:hAnsi="Garamond"/>
          <w:b/>
          <w:sz w:val="20"/>
          <w:szCs w:val="20"/>
        </w:rPr>
        <w:lastRenderedPageBreak/>
        <w:t>R</w:t>
      </w:r>
      <w:r w:rsidRPr="007F43E6">
        <w:rPr>
          <w:rFonts w:ascii="Garamond" w:hAnsi="Garamond"/>
          <w:b/>
          <w:sz w:val="20"/>
          <w:szCs w:val="20"/>
        </w:rPr>
        <w:t>ozsud</w:t>
      </w:r>
      <w:r>
        <w:rPr>
          <w:rFonts w:ascii="Garamond" w:hAnsi="Garamond"/>
          <w:b/>
          <w:sz w:val="20"/>
          <w:szCs w:val="20"/>
        </w:rPr>
        <w:t>e</w:t>
      </w:r>
      <w:r w:rsidRPr="007F43E6">
        <w:rPr>
          <w:rFonts w:ascii="Garamond" w:hAnsi="Garamond"/>
          <w:b/>
          <w:sz w:val="20"/>
          <w:szCs w:val="20"/>
        </w:rPr>
        <w:t>k N</w:t>
      </w:r>
      <w:r>
        <w:rPr>
          <w:rFonts w:ascii="Garamond" w:hAnsi="Garamond"/>
          <w:b/>
          <w:sz w:val="20"/>
          <w:szCs w:val="20"/>
        </w:rPr>
        <w:t>SS</w:t>
      </w:r>
      <w:r w:rsidRPr="007F43E6">
        <w:rPr>
          <w:rFonts w:ascii="Garamond" w:hAnsi="Garamond"/>
          <w:b/>
          <w:sz w:val="20"/>
          <w:szCs w:val="20"/>
        </w:rPr>
        <w:t xml:space="preserve"> z </w:t>
      </w:r>
      <w:proofErr w:type="gramStart"/>
      <w:r>
        <w:rPr>
          <w:rFonts w:ascii="Garamond" w:hAnsi="Garamond"/>
          <w:b/>
          <w:sz w:val="20"/>
          <w:szCs w:val="20"/>
        </w:rPr>
        <w:t>06</w:t>
      </w:r>
      <w:r w:rsidRPr="007F43E6">
        <w:rPr>
          <w:rFonts w:ascii="Garamond" w:hAnsi="Garamond"/>
          <w:b/>
          <w:sz w:val="20"/>
          <w:szCs w:val="20"/>
        </w:rPr>
        <w:t>.</w:t>
      </w:r>
      <w:r>
        <w:rPr>
          <w:rFonts w:ascii="Garamond" w:hAnsi="Garamond"/>
          <w:b/>
          <w:sz w:val="20"/>
          <w:szCs w:val="20"/>
        </w:rPr>
        <w:t>12</w:t>
      </w:r>
      <w:r w:rsidRPr="007F43E6">
        <w:rPr>
          <w:rFonts w:ascii="Garamond" w:hAnsi="Garamond"/>
          <w:b/>
          <w:sz w:val="20"/>
          <w:szCs w:val="20"/>
        </w:rPr>
        <w:t>.201</w:t>
      </w:r>
      <w:r>
        <w:rPr>
          <w:rFonts w:ascii="Garamond" w:hAnsi="Garamond"/>
          <w:b/>
          <w:sz w:val="20"/>
          <w:szCs w:val="20"/>
        </w:rPr>
        <w:t>2</w:t>
      </w:r>
      <w:proofErr w:type="gramEnd"/>
      <w:r w:rsidRPr="007F43E6">
        <w:rPr>
          <w:rFonts w:ascii="Garamond" w:hAnsi="Garamond"/>
          <w:b/>
          <w:sz w:val="20"/>
          <w:szCs w:val="20"/>
        </w:rPr>
        <w:t xml:space="preserve">, </w:t>
      </w:r>
      <w:proofErr w:type="spellStart"/>
      <w:r w:rsidRPr="007F43E6">
        <w:rPr>
          <w:rFonts w:ascii="Garamond" w:hAnsi="Garamond"/>
          <w:b/>
          <w:sz w:val="20"/>
          <w:szCs w:val="20"/>
        </w:rPr>
        <w:t>čj</w:t>
      </w:r>
      <w:proofErr w:type="spellEnd"/>
      <w:r w:rsidRPr="007F43E6">
        <w:rPr>
          <w:rFonts w:ascii="Garamond" w:hAnsi="Garamond"/>
          <w:b/>
          <w:sz w:val="20"/>
          <w:szCs w:val="20"/>
        </w:rPr>
        <w:t xml:space="preserve">. </w:t>
      </w:r>
      <w:r>
        <w:rPr>
          <w:rFonts w:ascii="Garamond" w:hAnsi="Garamond"/>
          <w:b/>
          <w:sz w:val="20"/>
          <w:szCs w:val="20"/>
        </w:rPr>
        <w:t>1</w:t>
      </w:r>
      <w:r w:rsidRPr="007F43E6">
        <w:rPr>
          <w:rFonts w:ascii="Garamond" w:hAnsi="Garamond"/>
          <w:b/>
          <w:sz w:val="20"/>
          <w:szCs w:val="20"/>
        </w:rPr>
        <w:t xml:space="preserve"> As </w:t>
      </w:r>
      <w:r>
        <w:rPr>
          <w:rFonts w:ascii="Garamond" w:hAnsi="Garamond"/>
          <w:b/>
          <w:sz w:val="20"/>
          <w:szCs w:val="20"/>
        </w:rPr>
        <w:t>169</w:t>
      </w:r>
      <w:r w:rsidRPr="007F43E6">
        <w:rPr>
          <w:rFonts w:ascii="Garamond" w:hAnsi="Garamond"/>
          <w:b/>
          <w:sz w:val="20"/>
          <w:szCs w:val="20"/>
        </w:rPr>
        <w:t>/201</w:t>
      </w:r>
      <w:r>
        <w:rPr>
          <w:rFonts w:ascii="Garamond" w:hAnsi="Garamond"/>
          <w:b/>
          <w:sz w:val="20"/>
          <w:szCs w:val="20"/>
        </w:rPr>
        <w:t>2</w:t>
      </w:r>
      <w:r w:rsidRPr="007F43E6">
        <w:rPr>
          <w:rFonts w:ascii="Garamond" w:hAnsi="Garamond"/>
          <w:b/>
          <w:sz w:val="20"/>
          <w:szCs w:val="20"/>
        </w:rPr>
        <w:t xml:space="preserve"> </w:t>
      </w:r>
      <w:r>
        <w:rPr>
          <w:rFonts w:ascii="Garamond" w:hAnsi="Garamond"/>
          <w:b/>
          <w:sz w:val="20"/>
          <w:szCs w:val="20"/>
        </w:rPr>
        <w:t>–</w:t>
      </w:r>
      <w:r w:rsidRPr="007F43E6">
        <w:rPr>
          <w:rFonts w:ascii="Garamond" w:hAnsi="Garamond"/>
          <w:b/>
          <w:sz w:val="20"/>
          <w:szCs w:val="20"/>
        </w:rPr>
        <w:t xml:space="preserve"> </w:t>
      </w:r>
      <w:r>
        <w:rPr>
          <w:rFonts w:ascii="Garamond" w:hAnsi="Garamond"/>
          <w:b/>
          <w:sz w:val="20"/>
          <w:szCs w:val="20"/>
        </w:rPr>
        <w:t>38</w:t>
      </w:r>
    </w:p>
    <w:p w:rsidR="007F43E6" w:rsidRDefault="007F43E6" w:rsidP="00E61ABE">
      <w:pPr>
        <w:rPr>
          <w:rFonts w:ascii="Garamond" w:hAnsi="Garamond"/>
          <w:sz w:val="20"/>
          <w:szCs w:val="20"/>
        </w:rPr>
      </w:pPr>
    </w:p>
    <w:p w:rsidR="007F43E6" w:rsidRPr="00E61ABE" w:rsidRDefault="007F43E6" w:rsidP="00E61ABE">
      <w:pPr>
        <w:rPr>
          <w:rFonts w:ascii="Garamond" w:hAnsi="Garamond"/>
          <w:sz w:val="20"/>
          <w:szCs w:val="20"/>
        </w:rPr>
      </w:pPr>
    </w:p>
    <w:sectPr w:rsidR="007F43E6" w:rsidRPr="00E61ABE" w:rsidSect="00470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A27F2C"/>
    <w:rsid w:val="00055F0F"/>
    <w:rsid w:val="00067910"/>
    <w:rsid w:val="0012737D"/>
    <w:rsid w:val="00166359"/>
    <w:rsid w:val="001A5B1C"/>
    <w:rsid w:val="001F62B7"/>
    <w:rsid w:val="00286949"/>
    <w:rsid w:val="002B1D4C"/>
    <w:rsid w:val="00321605"/>
    <w:rsid w:val="003F5C51"/>
    <w:rsid w:val="00401194"/>
    <w:rsid w:val="00426786"/>
    <w:rsid w:val="00470E97"/>
    <w:rsid w:val="004916A1"/>
    <w:rsid w:val="00541596"/>
    <w:rsid w:val="005806C0"/>
    <w:rsid w:val="005A116F"/>
    <w:rsid w:val="00692D92"/>
    <w:rsid w:val="006C2F39"/>
    <w:rsid w:val="007D5E94"/>
    <w:rsid w:val="007F43E6"/>
    <w:rsid w:val="00830D05"/>
    <w:rsid w:val="00837C05"/>
    <w:rsid w:val="00867B91"/>
    <w:rsid w:val="0089231A"/>
    <w:rsid w:val="008D7E49"/>
    <w:rsid w:val="008E089F"/>
    <w:rsid w:val="008E4BBB"/>
    <w:rsid w:val="008F7BDC"/>
    <w:rsid w:val="0096512F"/>
    <w:rsid w:val="00984709"/>
    <w:rsid w:val="009C1A4F"/>
    <w:rsid w:val="009D5C19"/>
    <w:rsid w:val="009F41C2"/>
    <w:rsid w:val="00A27F2C"/>
    <w:rsid w:val="00A54948"/>
    <w:rsid w:val="00AA2F4E"/>
    <w:rsid w:val="00B10383"/>
    <w:rsid w:val="00B27444"/>
    <w:rsid w:val="00B43CB8"/>
    <w:rsid w:val="00B77200"/>
    <w:rsid w:val="00BF07E8"/>
    <w:rsid w:val="00C11C92"/>
    <w:rsid w:val="00C25628"/>
    <w:rsid w:val="00C41291"/>
    <w:rsid w:val="00C62C71"/>
    <w:rsid w:val="00C63533"/>
    <w:rsid w:val="00C84E8F"/>
    <w:rsid w:val="00D57EF7"/>
    <w:rsid w:val="00DF79D4"/>
    <w:rsid w:val="00E10277"/>
    <w:rsid w:val="00E40492"/>
    <w:rsid w:val="00E61ABE"/>
    <w:rsid w:val="00E752EA"/>
    <w:rsid w:val="00E8753E"/>
    <w:rsid w:val="00F6620F"/>
    <w:rsid w:val="00F741DD"/>
    <w:rsid w:val="00FD2AB7"/>
    <w:rsid w:val="00FF05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0E97"/>
  </w:style>
  <w:style w:type="paragraph" w:styleId="Nadpis3">
    <w:name w:val="heading 3"/>
    <w:basedOn w:val="Normln"/>
    <w:link w:val="Nadpis3Char"/>
    <w:uiPriority w:val="9"/>
    <w:qFormat/>
    <w:rsid w:val="008D7E4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style-span">
    <w:name w:val="apple-style-span"/>
    <w:basedOn w:val="Standardnpsmoodstavce"/>
    <w:rsid w:val="0096512F"/>
  </w:style>
  <w:style w:type="character" w:styleId="Hypertextovodkaz">
    <w:name w:val="Hyperlink"/>
    <w:basedOn w:val="Standardnpsmoodstavce"/>
    <w:uiPriority w:val="99"/>
    <w:unhideWhenUsed/>
    <w:rsid w:val="0096512F"/>
    <w:rPr>
      <w:color w:val="0000FF"/>
      <w:u w:val="single"/>
    </w:rPr>
  </w:style>
  <w:style w:type="character" w:customStyle="1" w:styleId="apple-converted-space">
    <w:name w:val="apple-converted-space"/>
    <w:basedOn w:val="Standardnpsmoodstavce"/>
    <w:rsid w:val="0096512F"/>
  </w:style>
  <w:style w:type="character" w:customStyle="1" w:styleId="Nadpis3Char">
    <w:name w:val="Nadpis 3 Char"/>
    <w:basedOn w:val="Standardnpsmoodstavce"/>
    <w:link w:val="Nadpis3"/>
    <w:uiPriority w:val="9"/>
    <w:rsid w:val="008D7E49"/>
    <w:rPr>
      <w:rFonts w:ascii="Times New Roman" w:eastAsia="Times New Roman" w:hAnsi="Times New Roman" w:cs="Times New Roman"/>
      <w:b/>
      <w:bCs/>
      <w:sz w:val="27"/>
      <w:szCs w:val="27"/>
      <w:lang w:eastAsia="cs-CZ"/>
    </w:rPr>
  </w:style>
  <w:style w:type="character" w:styleId="Sledovanodkaz">
    <w:name w:val="FollowedHyperlink"/>
    <w:basedOn w:val="Standardnpsmoodstavce"/>
    <w:uiPriority w:val="99"/>
    <w:semiHidden/>
    <w:unhideWhenUsed/>
    <w:rsid w:val="00C84E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474307">
      <w:bodyDiv w:val="1"/>
      <w:marLeft w:val="0"/>
      <w:marRight w:val="0"/>
      <w:marTop w:val="0"/>
      <w:marBottom w:val="0"/>
      <w:divBdr>
        <w:top w:val="none" w:sz="0" w:space="0" w:color="auto"/>
        <w:left w:val="none" w:sz="0" w:space="0" w:color="auto"/>
        <w:bottom w:val="none" w:sz="0" w:space="0" w:color="auto"/>
        <w:right w:val="none" w:sz="0" w:space="0" w:color="auto"/>
      </w:divBdr>
    </w:div>
    <w:div w:id="105317681">
      <w:bodyDiv w:val="1"/>
      <w:marLeft w:val="0"/>
      <w:marRight w:val="0"/>
      <w:marTop w:val="0"/>
      <w:marBottom w:val="0"/>
      <w:divBdr>
        <w:top w:val="none" w:sz="0" w:space="0" w:color="auto"/>
        <w:left w:val="none" w:sz="0" w:space="0" w:color="auto"/>
        <w:bottom w:val="none" w:sz="0" w:space="0" w:color="auto"/>
        <w:right w:val="none" w:sz="0" w:space="0" w:color="auto"/>
      </w:divBdr>
    </w:div>
    <w:div w:id="105928910">
      <w:bodyDiv w:val="1"/>
      <w:marLeft w:val="0"/>
      <w:marRight w:val="0"/>
      <w:marTop w:val="0"/>
      <w:marBottom w:val="0"/>
      <w:divBdr>
        <w:top w:val="none" w:sz="0" w:space="0" w:color="auto"/>
        <w:left w:val="none" w:sz="0" w:space="0" w:color="auto"/>
        <w:bottom w:val="none" w:sz="0" w:space="0" w:color="auto"/>
        <w:right w:val="none" w:sz="0" w:space="0" w:color="auto"/>
      </w:divBdr>
    </w:div>
    <w:div w:id="162480141">
      <w:bodyDiv w:val="1"/>
      <w:marLeft w:val="0"/>
      <w:marRight w:val="0"/>
      <w:marTop w:val="0"/>
      <w:marBottom w:val="0"/>
      <w:divBdr>
        <w:top w:val="none" w:sz="0" w:space="0" w:color="auto"/>
        <w:left w:val="none" w:sz="0" w:space="0" w:color="auto"/>
        <w:bottom w:val="none" w:sz="0" w:space="0" w:color="auto"/>
        <w:right w:val="none" w:sz="0" w:space="0" w:color="auto"/>
      </w:divBdr>
    </w:div>
    <w:div w:id="174227379">
      <w:bodyDiv w:val="1"/>
      <w:marLeft w:val="0"/>
      <w:marRight w:val="0"/>
      <w:marTop w:val="0"/>
      <w:marBottom w:val="0"/>
      <w:divBdr>
        <w:top w:val="none" w:sz="0" w:space="0" w:color="auto"/>
        <w:left w:val="none" w:sz="0" w:space="0" w:color="auto"/>
        <w:bottom w:val="none" w:sz="0" w:space="0" w:color="auto"/>
        <w:right w:val="none" w:sz="0" w:space="0" w:color="auto"/>
      </w:divBdr>
    </w:div>
    <w:div w:id="205531898">
      <w:bodyDiv w:val="1"/>
      <w:marLeft w:val="0"/>
      <w:marRight w:val="0"/>
      <w:marTop w:val="0"/>
      <w:marBottom w:val="0"/>
      <w:divBdr>
        <w:top w:val="none" w:sz="0" w:space="0" w:color="auto"/>
        <w:left w:val="none" w:sz="0" w:space="0" w:color="auto"/>
        <w:bottom w:val="none" w:sz="0" w:space="0" w:color="auto"/>
        <w:right w:val="none" w:sz="0" w:space="0" w:color="auto"/>
      </w:divBdr>
    </w:div>
    <w:div w:id="217597406">
      <w:bodyDiv w:val="1"/>
      <w:marLeft w:val="0"/>
      <w:marRight w:val="0"/>
      <w:marTop w:val="0"/>
      <w:marBottom w:val="0"/>
      <w:divBdr>
        <w:top w:val="none" w:sz="0" w:space="0" w:color="auto"/>
        <w:left w:val="none" w:sz="0" w:space="0" w:color="auto"/>
        <w:bottom w:val="none" w:sz="0" w:space="0" w:color="auto"/>
        <w:right w:val="none" w:sz="0" w:space="0" w:color="auto"/>
      </w:divBdr>
    </w:div>
    <w:div w:id="271479684">
      <w:bodyDiv w:val="1"/>
      <w:marLeft w:val="0"/>
      <w:marRight w:val="0"/>
      <w:marTop w:val="0"/>
      <w:marBottom w:val="0"/>
      <w:divBdr>
        <w:top w:val="none" w:sz="0" w:space="0" w:color="auto"/>
        <w:left w:val="none" w:sz="0" w:space="0" w:color="auto"/>
        <w:bottom w:val="none" w:sz="0" w:space="0" w:color="auto"/>
        <w:right w:val="none" w:sz="0" w:space="0" w:color="auto"/>
      </w:divBdr>
    </w:div>
    <w:div w:id="289626950">
      <w:bodyDiv w:val="1"/>
      <w:marLeft w:val="0"/>
      <w:marRight w:val="0"/>
      <w:marTop w:val="0"/>
      <w:marBottom w:val="0"/>
      <w:divBdr>
        <w:top w:val="none" w:sz="0" w:space="0" w:color="auto"/>
        <w:left w:val="none" w:sz="0" w:space="0" w:color="auto"/>
        <w:bottom w:val="none" w:sz="0" w:space="0" w:color="auto"/>
        <w:right w:val="none" w:sz="0" w:space="0" w:color="auto"/>
      </w:divBdr>
    </w:div>
    <w:div w:id="313527353">
      <w:bodyDiv w:val="1"/>
      <w:marLeft w:val="0"/>
      <w:marRight w:val="0"/>
      <w:marTop w:val="0"/>
      <w:marBottom w:val="0"/>
      <w:divBdr>
        <w:top w:val="none" w:sz="0" w:space="0" w:color="auto"/>
        <w:left w:val="none" w:sz="0" w:space="0" w:color="auto"/>
        <w:bottom w:val="none" w:sz="0" w:space="0" w:color="auto"/>
        <w:right w:val="none" w:sz="0" w:space="0" w:color="auto"/>
      </w:divBdr>
    </w:div>
    <w:div w:id="314183101">
      <w:bodyDiv w:val="1"/>
      <w:marLeft w:val="0"/>
      <w:marRight w:val="0"/>
      <w:marTop w:val="0"/>
      <w:marBottom w:val="0"/>
      <w:divBdr>
        <w:top w:val="none" w:sz="0" w:space="0" w:color="auto"/>
        <w:left w:val="none" w:sz="0" w:space="0" w:color="auto"/>
        <w:bottom w:val="none" w:sz="0" w:space="0" w:color="auto"/>
        <w:right w:val="none" w:sz="0" w:space="0" w:color="auto"/>
      </w:divBdr>
    </w:div>
    <w:div w:id="388652075">
      <w:bodyDiv w:val="1"/>
      <w:marLeft w:val="0"/>
      <w:marRight w:val="0"/>
      <w:marTop w:val="0"/>
      <w:marBottom w:val="0"/>
      <w:divBdr>
        <w:top w:val="none" w:sz="0" w:space="0" w:color="auto"/>
        <w:left w:val="none" w:sz="0" w:space="0" w:color="auto"/>
        <w:bottom w:val="none" w:sz="0" w:space="0" w:color="auto"/>
        <w:right w:val="none" w:sz="0" w:space="0" w:color="auto"/>
      </w:divBdr>
    </w:div>
    <w:div w:id="440800302">
      <w:bodyDiv w:val="1"/>
      <w:marLeft w:val="0"/>
      <w:marRight w:val="0"/>
      <w:marTop w:val="0"/>
      <w:marBottom w:val="0"/>
      <w:divBdr>
        <w:top w:val="none" w:sz="0" w:space="0" w:color="auto"/>
        <w:left w:val="none" w:sz="0" w:space="0" w:color="auto"/>
        <w:bottom w:val="none" w:sz="0" w:space="0" w:color="auto"/>
        <w:right w:val="none" w:sz="0" w:space="0" w:color="auto"/>
      </w:divBdr>
    </w:div>
    <w:div w:id="464811660">
      <w:bodyDiv w:val="1"/>
      <w:marLeft w:val="0"/>
      <w:marRight w:val="0"/>
      <w:marTop w:val="0"/>
      <w:marBottom w:val="0"/>
      <w:divBdr>
        <w:top w:val="none" w:sz="0" w:space="0" w:color="auto"/>
        <w:left w:val="none" w:sz="0" w:space="0" w:color="auto"/>
        <w:bottom w:val="none" w:sz="0" w:space="0" w:color="auto"/>
        <w:right w:val="none" w:sz="0" w:space="0" w:color="auto"/>
      </w:divBdr>
    </w:div>
    <w:div w:id="479151531">
      <w:bodyDiv w:val="1"/>
      <w:marLeft w:val="0"/>
      <w:marRight w:val="0"/>
      <w:marTop w:val="0"/>
      <w:marBottom w:val="0"/>
      <w:divBdr>
        <w:top w:val="none" w:sz="0" w:space="0" w:color="auto"/>
        <w:left w:val="none" w:sz="0" w:space="0" w:color="auto"/>
        <w:bottom w:val="none" w:sz="0" w:space="0" w:color="auto"/>
        <w:right w:val="none" w:sz="0" w:space="0" w:color="auto"/>
      </w:divBdr>
    </w:div>
    <w:div w:id="490679170">
      <w:bodyDiv w:val="1"/>
      <w:marLeft w:val="0"/>
      <w:marRight w:val="0"/>
      <w:marTop w:val="0"/>
      <w:marBottom w:val="0"/>
      <w:divBdr>
        <w:top w:val="none" w:sz="0" w:space="0" w:color="auto"/>
        <w:left w:val="none" w:sz="0" w:space="0" w:color="auto"/>
        <w:bottom w:val="none" w:sz="0" w:space="0" w:color="auto"/>
        <w:right w:val="none" w:sz="0" w:space="0" w:color="auto"/>
      </w:divBdr>
    </w:div>
    <w:div w:id="513226717">
      <w:bodyDiv w:val="1"/>
      <w:marLeft w:val="0"/>
      <w:marRight w:val="0"/>
      <w:marTop w:val="0"/>
      <w:marBottom w:val="0"/>
      <w:divBdr>
        <w:top w:val="none" w:sz="0" w:space="0" w:color="auto"/>
        <w:left w:val="none" w:sz="0" w:space="0" w:color="auto"/>
        <w:bottom w:val="none" w:sz="0" w:space="0" w:color="auto"/>
        <w:right w:val="none" w:sz="0" w:space="0" w:color="auto"/>
      </w:divBdr>
    </w:div>
    <w:div w:id="542835797">
      <w:bodyDiv w:val="1"/>
      <w:marLeft w:val="0"/>
      <w:marRight w:val="0"/>
      <w:marTop w:val="0"/>
      <w:marBottom w:val="0"/>
      <w:divBdr>
        <w:top w:val="none" w:sz="0" w:space="0" w:color="auto"/>
        <w:left w:val="none" w:sz="0" w:space="0" w:color="auto"/>
        <w:bottom w:val="none" w:sz="0" w:space="0" w:color="auto"/>
        <w:right w:val="none" w:sz="0" w:space="0" w:color="auto"/>
      </w:divBdr>
    </w:div>
    <w:div w:id="563180290">
      <w:bodyDiv w:val="1"/>
      <w:marLeft w:val="0"/>
      <w:marRight w:val="0"/>
      <w:marTop w:val="0"/>
      <w:marBottom w:val="0"/>
      <w:divBdr>
        <w:top w:val="none" w:sz="0" w:space="0" w:color="auto"/>
        <w:left w:val="none" w:sz="0" w:space="0" w:color="auto"/>
        <w:bottom w:val="none" w:sz="0" w:space="0" w:color="auto"/>
        <w:right w:val="none" w:sz="0" w:space="0" w:color="auto"/>
      </w:divBdr>
    </w:div>
    <w:div w:id="590889894">
      <w:bodyDiv w:val="1"/>
      <w:marLeft w:val="0"/>
      <w:marRight w:val="0"/>
      <w:marTop w:val="0"/>
      <w:marBottom w:val="0"/>
      <w:divBdr>
        <w:top w:val="none" w:sz="0" w:space="0" w:color="auto"/>
        <w:left w:val="none" w:sz="0" w:space="0" w:color="auto"/>
        <w:bottom w:val="none" w:sz="0" w:space="0" w:color="auto"/>
        <w:right w:val="none" w:sz="0" w:space="0" w:color="auto"/>
      </w:divBdr>
    </w:div>
    <w:div w:id="669526154">
      <w:bodyDiv w:val="1"/>
      <w:marLeft w:val="0"/>
      <w:marRight w:val="0"/>
      <w:marTop w:val="0"/>
      <w:marBottom w:val="0"/>
      <w:divBdr>
        <w:top w:val="none" w:sz="0" w:space="0" w:color="auto"/>
        <w:left w:val="none" w:sz="0" w:space="0" w:color="auto"/>
        <w:bottom w:val="none" w:sz="0" w:space="0" w:color="auto"/>
        <w:right w:val="none" w:sz="0" w:space="0" w:color="auto"/>
      </w:divBdr>
    </w:div>
    <w:div w:id="696463952">
      <w:bodyDiv w:val="1"/>
      <w:marLeft w:val="0"/>
      <w:marRight w:val="0"/>
      <w:marTop w:val="0"/>
      <w:marBottom w:val="0"/>
      <w:divBdr>
        <w:top w:val="none" w:sz="0" w:space="0" w:color="auto"/>
        <w:left w:val="none" w:sz="0" w:space="0" w:color="auto"/>
        <w:bottom w:val="none" w:sz="0" w:space="0" w:color="auto"/>
        <w:right w:val="none" w:sz="0" w:space="0" w:color="auto"/>
      </w:divBdr>
    </w:div>
    <w:div w:id="716003761">
      <w:bodyDiv w:val="1"/>
      <w:marLeft w:val="0"/>
      <w:marRight w:val="0"/>
      <w:marTop w:val="0"/>
      <w:marBottom w:val="0"/>
      <w:divBdr>
        <w:top w:val="none" w:sz="0" w:space="0" w:color="auto"/>
        <w:left w:val="none" w:sz="0" w:space="0" w:color="auto"/>
        <w:bottom w:val="none" w:sz="0" w:space="0" w:color="auto"/>
        <w:right w:val="none" w:sz="0" w:space="0" w:color="auto"/>
      </w:divBdr>
    </w:div>
    <w:div w:id="724257667">
      <w:bodyDiv w:val="1"/>
      <w:marLeft w:val="0"/>
      <w:marRight w:val="0"/>
      <w:marTop w:val="0"/>
      <w:marBottom w:val="0"/>
      <w:divBdr>
        <w:top w:val="none" w:sz="0" w:space="0" w:color="auto"/>
        <w:left w:val="none" w:sz="0" w:space="0" w:color="auto"/>
        <w:bottom w:val="none" w:sz="0" w:space="0" w:color="auto"/>
        <w:right w:val="none" w:sz="0" w:space="0" w:color="auto"/>
      </w:divBdr>
    </w:div>
    <w:div w:id="740103220">
      <w:bodyDiv w:val="1"/>
      <w:marLeft w:val="0"/>
      <w:marRight w:val="0"/>
      <w:marTop w:val="0"/>
      <w:marBottom w:val="0"/>
      <w:divBdr>
        <w:top w:val="none" w:sz="0" w:space="0" w:color="auto"/>
        <w:left w:val="none" w:sz="0" w:space="0" w:color="auto"/>
        <w:bottom w:val="none" w:sz="0" w:space="0" w:color="auto"/>
        <w:right w:val="none" w:sz="0" w:space="0" w:color="auto"/>
      </w:divBdr>
    </w:div>
    <w:div w:id="742609666">
      <w:bodyDiv w:val="1"/>
      <w:marLeft w:val="0"/>
      <w:marRight w:val="0"/>
      <w:marTop w:val="0"/>
      <w:marBottom w:val="0"/>
      <w:divBdr>
        <w:top w:val="none" w:sz="0" w:space="0" w:color="auto"/>
        <w:left w:val="none" w:sz="0" w:space="0" w:color="auto"/>
        <w:bottom w:val="none" w:sz="0" w:space="0" w:color="auto"/>
        <w:right w:val="none" w:sz="0" w:space="0" w:color="auto"/>
      </w:divBdr>
    </w:div>
    <w:div w:id="750856975">
      <w:bodyDiv w:val="1"/>
      <w:marLeft w:val="0"/>
      <w:marRight w:val="0"/>
      <w:marTop w:val="0"/>
      <w:marBottom w:val="0"/>
      <w:divBdr>
        <w:top w:val="none" w:sz="0" w:space="0" w:color="auto"/>
        <w:left w:val="none" w:sz="0" w:space="0" w:color="auto"/>
        <w:bottom w:val="none" w:sz="0" w:space="0" w:color="auto"/>
        <w:right w:val="none" w:sz="0" w:space="0" w:color="auto"/>
      </w:divBdr>
    </w:div>
    <w:div w:id="781845457">
      <w:bodyDiv w:val="1"/>
      <w:marLeft w:val="100"/>
      <w:marRight w:val="0"/>
      <w:marTop w:val="0"/>
      <w:marBottom w:val="0"/>
      <w:divBdr>
        <w:top w:val="none" w:sz="0" w:space="0" w:color="auto"/>
        <w:left w:val="none" w:sz="0" w:space="0" w:color="auto"/>
        <w:bottom w:val="none" w:sz="0" w:space="0" w:color="auto"/>
        <w:right w:val="none" w:sz="0" w:space="0" w:color="auto"/>
      </w:divBdr>
      <w:divsChild>
        <w:div w:id="1298411201">
          <w:marLeft w:val="0"/>
          <w:marRight w:val="0"/>
          <w:marTop w:val="0"/>
          <w:marBottom w:val="0"/>
          <w:divBdr>
            <w:top w:val="none" w:sz="0" w:space="0" w:color="auto"/>
            <w:left w:val="none" w:sz="0" w:space="0" w:color="auto"/>
            <w:bottom w:val="none" w:sz="0" w:space="0" w:color="auto"/>
            <w:right w:val="none" w:sz="0" w:space="0" w:color="auto"/>
          </w:divBdr>
          <w:divsChild>
            <w:div w:id="528563553">
              <w:marLeft w:val="0"/>
              <w:marRight w:val="0"/>
              <w:marTop w:val="0"/>
              <w:marBottom w:val="0"/>
              <w:divBdr>
                <w:top w:val="none" w:sz="0" w:space="0" w:color="auto"/>
                <w:left w:val="single" w:sz="48" w:space="0" w:color="7297C8"/>
                <w:bottom w:val="none" w:sz="0" w:space="0" w:color="auto"/>
                <w:right w:val="none" w:sz="0" w:space="0" w:color="auto"/>
              </w:divBdr>
              <w:divsChild>
                <w:div w:id="1719624612">
                  <w:marLeft w:val="0"/>
                  <w:marRight w:val="0"/>
                  <w:marTop w:val="0"/>
                  <w:marBottom w:val="0"/>
                  <w:divBdr>
                    <w:top w:val="none" w:sz="0" w:space="0" w:color="auto"/>
                    <w:left w:val="none" w:sz="0" w:space="0" w:color="auto"/>
                    <w:bottom w:val="none" w:sz="0" w:space="0" w:color="auto"/>
                    <w:right w:val="none" w:sz="0" w:space="0" w:color="auto"/>
                  </w:divBdr>
                  <w:divsChild>
                    <w:div w:id="13105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230">
      <w:bodyDiv w:val="1"/>
      <w:marLeft w:val="0"/>
      <w:marRight w:val="0"/>
      <w:marTop w:val="0"/>
      <w:marBottom w:val="0"/>
      <w:divBdr>
        <w:top w:val="none" w:sz="0" w:space="0" w:color="auto"/>
        <w:left w:val="none" w:sz="0" w:space="0" w:color="auto"/>
        <w:bottom w:val="none" w:sz="0" w:space="0" w:color="auto"/>
        <w:right w:val="none" w:sz="0" w:space="0" w:color="auto"/>
      </w:divBdr>
    </w:div>
    <w:div w:id="878516521">
      <w:bodyDiv w:val="1"/>
      <w:marLeft w:val="0"/>
      <w:marRight w:val="0"/>
      <w:marTop w:val="0"/>
      <w:marBottom w:val="0"/>
      <w:divBdr>
        <w:top w:val="none" w:sz="0" w:space="0" w:color="auto"/>
        <w:left w:val="none" w:sz="0" w:space="0" w:color="auto"/>
        <w:bottom w:val="none" w:sz="0" w:space="0" w:color="auto"/>
        <w:right w:val="none" w:sz="0" w:space="0" w:color="auto"/>
      </w:divBdr>
      <w:divsChild>
        <w:div w:id="468593535">
          <w:marLeft w:val="0"/>
          <w:marRight w:val="0"/>
          <w:marTop w:val="0"/>
          <w:marBottom w:val="0"/>
          <w:divBdr>
            <w:top w:val="none" w:sz="0" w:space="0" w:color="auto"/>
            <w:left w:val="none" w:sz="0" w:space="0" w:color="auto"/>
            <w:bottom w:val="none" w:sz="0" w:space="0" w:color="auto"/>
            <w:right w:val="none" w:sz="0" w:space="0" w:color="auto"/>
          </w:divBdr>
        </w:div>
      </w:divsChild>
    </w:div>
    <w:div w:id="901792918">
      <w:bodyDiv w:val="1"/>
      <w:marLeft w:val="0"/>
      <w:marRight w:val="0"/>
      <w:marTop w:val="0"/>
      <w:marBottom w:val="0"/>
      <w:divBdr>
        <w:top w:val="none" w:sz="0" w:space="0" w:color="auto"/>
        <w:left w:val="none" w:sz="0" w:space="0" w:color="auto"/>
        <w:bottom w:val="none" w:sz="0" w:space="0" w:color="auto"/>
        <w:right w:val="none" w:sz="0" w:space="0" w:color="auto"/>
      </w:divBdr>
    </w:div>
    <w:div w:id="906375191">
      <w:bodyDiv w:val="1"/>
      <w:marLeft w:val="0"/>
      <w:marRight w:val="0"/>
      <w:marTop w:val="0"/>
      <w:marBottom w:val="0"/>
      <w:divBdr>
        <w:top w:val="none" w:sz="0" w:space="0" w:color="auto"/>
        <w:left w:val="none" w:sz="0" w:space="0" w:color="auto"/>
        <w:bottom w:val="none" w:sz="0" w:space="0" w:color="auto"/>
        <w:right w:val="none" w:sz="0" w:space="0" w:color="auto"/>
      </w:divBdr>
    </w:div>
    <w:div w:id="917715823">
      <w:bodyDiv w:val="1"/>
      <w:marLeft w:val="0"/>
      <w:marRight w:val="0"/>
      <w:marTop w:val="0"/>
      <w:marBottom w:val="0"/>
      <w:divBdr>
        <w:top w:val="none" w:sz="0" w:space="0" w:color="auto"/>
        <w:left w:val="none" w:sz="0" w:space="0" w:color="auto"/>
        <w:bottom w:val="none" w:sz="0" w:space="0" w:color="auto"/>
        <w:right w:val="none" w:sz="0" w:space="0" w:color="auto"/>
      </w:divBdr>
    </w:div>
    <w:div w:id="949169461">
      <w:bodyDiv w:val="1"/>
      <w:marLeft w:val="0"/>
      <w:marRight w:val="0"/>
      <w:marTop w:val="0"/>
      <w:marBottom w:val="0"/>
      <w:divBdr>
        <w:top w:val="none" w:sz="0" w:space="0" w:color="auto"/>
        <w:left w:val="none" w:sz="0" w:space="0" w:color="auto"/>
        <w:bottom w:val="none" w:sz="0" w:space="0" w:color="auto"/>
        <w:right w:val="none" w:sz="0" w:space="0" w:color="auto"/>
      </w:divBdr>
    </w:div>
    <w:div w:id="955677482">
      <w:bodyDiv w:val="1"/>
      <w:marLeft w:val="0"/>
      <w:marRight w:val="0"/>
      <w:marTop w:val="0"/>
      <w:marBottom w:val="0"/>
      <w:divBdr>
        <w:top w:val="none" w:sz="0" w:space="0" w:color="auto"/>
        <w:left w:val="none" w:sz="0" w:space="0" w:color="auto"/>
        <w:bottom w:val="none" w:sz="0" w:space="0" w:color="auto"/>
        <w:right w:val="none" w:sz="0" w:space="0" w:color="auto"/>
      </w:divBdr>
    </w:div>
    <w:div w:id="1013848447">
      <w:bodyDiv w:val="1"/>
      <w:marLeft w:val="0"/>
      <w:marRight w:val="0"/>
      <w:marTop w:val="0"/>
      <w:marBottom w:val="0"/>
      <w:divBdr>
        <w:top w:val="none" w:sz="0" w:space="0" w:color="auto"/>
        <w:left w:val="none" w:sz="0" w:space="0" w:color="auto"/>
        <w:bottom w:val="none" w:sz="0" w:space="0" w:color="auto"/>
        <w:right w:val="none" w:sz="0" w:space="0" w:color="auto"/>
      </w:divBdr>
    </w:div>
    <w:div w:id="1019312443">
      <w:bodyDiv w:val="1"/>
      <w:marLeft w:val="0"/>
      <w:marRight w:val="0"/>
      <w:marTop w:val="0"/>
      <w:marBottom w:val="0"/>
      <w:divBdr>
        <w:top w:val="none" w:sz="0" w:space="0" w:color="auto"/>
        <w:left w:val="none" w:sz="0" w:space="0" w:color="auto"/>
        <w:bottom w:val="none" w:sz="0" w:space="0" w:color="auto"/>
        <w:right w:val="none" w:sz="0" w:space="0" w:color="auto"/>
      </w:divBdr>
    </w:div>
    <w:div w:id="1036350929">
      <w:bodyDiv w:val="1"/>
      <w:marLeft w:val="0"/>
      <w:marRight w:val="0"/>
      <w:marTop w:val="0"/>
      <w:marBottom w:val="0"/>
      <w:divBdr>
        <w:top w:val="none" w:sz="0" w:space="0" w:color="auto"/>
        <w:left w:val="none" w:sz="0" w:space="0" w:color="auto"/>
        <w:bottom w:val="none" w:sz="0" w:space="0" w:color="auto"/>
        <w:right w:val="none" w:sz="0" w:space="0" w:color="auto"/>
      </w:divBdr>
    </w:div>
    <w:div w:id="1050038480">
      <w:bodyDiv w:val="1"/>
      <w:marLeft w:val="100"/>
      <w:marRight w:val="0"/>
      <w:marTop w:val="0"/>
      <w:marBottom w:val="0"/>
      <w:divBdr>
        <w:top w:val="none" w:sz="0" w:space="0" w:color="auto"/>
        <w:left w:val="none" w:sz="0" w:space="0" w:color="auto"/>
        <w:bottom w:val="none" w:sz="0" w:space="0" w:color="auto"/>
        <w:right w:val="none" w:sz="0" w:space="0" w:color="auto"/>
      </w:divBdr>
      <w:divsChild>
        <w:div w:id="1066220713">
          <w:marLeft w:val="0"/>
          <w:marRight w:val="0"/>
          <w:marTop w:val="0"/>
          <w:marBottom w:val="0"/>
          <w:divBdr>
            <w:top w:val="none" w:sz="0" w:space="0" w:color="auto"/>
            <w:left w:val="none" w:sz="0" w:space="0" w:color="auto"/>
            <w:bottom w:val="none" w:sz="0" w:space="0" w:color="auto"/>
            <w:right w:val="none" w:sz="0" w:space="0" w:color="auto"/>
          </w:divBdr>
          <w:divsChild>
            <w:div w:id="121264553">
              <w:marLeft w:val="0"/>
              <w:marRight w:val="0"/>
              <w:marTop w:val="0"/>
              <w:marBottom w:val="0"/>
              <w:divBdr>
                <w:top w:val="none" w:sz="0" w:space="0" w:color="auto"/>
                <w:left w:val="single" w:sz="48" w:space="0" w:color="7297C8"/>
                <w:bottom w:val="none" w:sz="0" w:space="0" w:color="auto"/>
                <w:right w:val="none" w:sz="0" w:space="0" w:color="auto"/>
              </w:divBdr>
              <w:divsChild>
                <w:div w:id="1979162">
                  <w:marLeft w:val="0"/>
                  <w:marRight w:val="0"/>
                  <w:marTop w:val="0"/>
                  <w:marBottom w:val="0"/>
                  <w:divBdr>
                    <w:top w:val="none" w:sz="0" w:space="0" w:color="auto"/>
                    <w:left w:val="none" w:sz="0" w:space="0" w:color="auto"/>
                    <w:bottom w:val="none" w:sz="0" w:space="0" w:color="auto"/>
                    <w:right w:val="none" w:sz="0" w:space="0" w:color="auto"/>
                  </w:divBdr>
                  <w:divsChild>
                    <w:div w:id="49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49813">
      <w:bodyDiv w:val="1"/>
      <w:marLeft w:val="0"/>
      <w:marRight w:val="0"/>
      <w:marTop w:val="0"/>
      <w:marBottom w:val="0"/>
      <w:divBdr>
        <w:top w:val="none" w:sz="0" w:space="0" w:color="auto"/>
        <w:left w:val="none" w:sz="0" w:space="0" w:color="auto"/>
        <w:bottom w:val="none" w:sz="0" w:space="0" w:color="auto"/>
        <w:right w:val="none" w:sz="0" w:space="0" w:color="auto"/>
      </w:divBdr>
    </w:div>
    <w:div w:id="1092891810">
      <w:bodyDiv w:val="1"/>
      <w:marLeft w:val="0"/>
      <w:marRight w:val="0"/>
      <w:marTop w:val="0"/>
      <w:marBottom w:val="0"/>
      <w:divBdr>
        <w:top w:val="none" w:sz="0" w:space="0" w:color="auto"/>
        <w:left w:val="none" w:sz="0" w:space="0" w:color="auto"/>
        <w:bottom w:val="none" w:sz="0" w:space="0" w:color="auto"/>
        <w:right w:val="none" w:sz="0" w:space="0" w:color="auto"/>
      </w:divBdr>
    </w:div>
    <w:div w:id="1120419070">
      <w:bodyDiv w:val="1"/>
      <w:marLeft w:val="0"/>
      <w:marRight w:val="0"/>
      <w:marTop w:val="0"/>
      <w:marBottom w:val="0"/>
      <w:divBdr>
        <w:top w:val="none" w:sz="0" w:space="0" w:color="auto"/>
        <w:left w:val="none" w:sz="0" w:space="0" w:color="auto"/>
        <w:bottom w:val="none" w:sz="0" w:space="0" w:color="auto"/>
        <w:right w:val="none" w:sz="0" w:space="0" w:color="auto"/>
      </w:divBdr>
    </w:div>
    <w:div w:id="1131247507">
      <w:bodyDiv w:val="1"/>
      <w:marLeft w:val="0"/>
      <w:marRight w:val="0"/>
      <w:marTop w:val="0"/>
      <w:marBottom w:val="0"/>
      <w:divBdr>
        <w:top w:val="none" w:sz="0" w:space="0" w:color="auto"/>
        <w:left w:val="none" w:sz="0" w:space="0" w:color="auto"/>
        <w:bottom w:val="none" w:sz="0" w:space="0" w:color="auto"/>
        <w:right w:val="none" w:sz="0" w:space="0" w:color="auto"/>
      </w:divBdr>
    </w:div>
    <w:div w:id="1145439125">
      <w:bodyDiv w:val="1"/>
      <w:marLeft w:val="0"/>
      <w:marRight w:val="0"/>
      <w:marTop w:val="0"/>
      <w:marBottom w:val="0"/>
      <w:divBdr>
        <w:top w:val="none" w:sz="0" w:space="0" w:color="auto"/>
        <w:left w:val="none" w:sz="0" w:space="0" w:color="auto"/>
        <w:bottom w:val="none" w:sz="0" w:space="0" w:color="auto"/>
        <w:right w:val="none" w:sz="0" w:space="0" w:color="auto"/>
      </w:divBdr>
    </w:div>
    <w:div w:id="1171028096">
      <w:bodyDiv w:val="1"/>
      <w:marLeft w:val="0"/>
      <w:marRight w:val="0"/>
      <w:marTop w:val="0"/>
      <w:marBottom w:val="0"/>
      <w:divBdr>
        <w:top w:val="none" w:sz="0" w:space="0" w:color="auto"/>
        <w:left w:val="none" w:sz="0" w:space="0" w:color="auto"/>
        <w:bottom w:val="none" w:sz="0" w:space="0" w:color="auto"/>
        <w:right w:val="none" w:sz="0" w:space="0" w:color="auto"/>
      </w:divBdr>
    </w:div>
    <w:div w:id="1207833908">
      <w:bodyDiv w:val="1"/>
      <w:marLeft w:val="0"/>
      <w:marRight w:val="0"/>
      <w:marTop w:val="0"/>
      <w:marBottom w:val="0"/>
      <w:divBdr>
        <w:top w:val="none" w:sz="0" w:space="0" w:color="auto"/>
        <w:left w:val="none" w:sz="0" w:space="0" w:color="auto"/>
        <w:bottom w:val="none" w:sz="0" w:space="0" w:color="auto"/>
        <w:right w:val="none" w:sz="0" w:space="0" w:color="auto"/>
      </w:divBdr>
    </w:div>
    <w:div w:id="1239095107">
      <w:bodyDiv w:val="1"/>
      <w:marLeft w:val="0"/>
      <w:marRight w:val="0"/>
      <w:marTop w:val="0"/>
      <w:marBottom w:val="0"/>
      <w:divBdr>
        <w:top w:val="none" w:sz="0" w:space="0" w:color="auto"/>
        <w:left w:val="none" w:sz="0" w:space="0" w:color="auto"/>
        <w:bottom w:val="none" w:sz="0" w:space="0" w:color="auto"/>
        <w:right w:val="none" w:sz="0" w:space="0" w:color="auto"/>
      </w:divBdr>
    </w:div>
    <w:div w:id="1257320871">
      <w:bodyDiv w:val="1"/>
      <w:marLeft w:val="0"/>
      <w:marRight w:val="0"/>
      <w:marTop w:val="0"/>
      <w:marBottom w:val="0"/>
      <w:divBdr>
        <w:top w:val="none" w:sz="0" w:space="0" w:color="auto"/>
        <w:left w:val="none" w:sz="0" w:space="0" w:color="auto"/>
        <w:bottom w:val="none" w:sz="0" w:space="0" w:color="auto"/>
        <w:right w:val="none" w:sz="0" w:space="0" w:color="auto"/>
      </w:divBdr>
    </w:div>
    <w:div w:id="1298144482">
      <w:bodyDiv w:val="1"/>
      <w:marLeft w:val="0"/>
      <w:marRight w:val="0"/>
      <w:marTop w:val="0"/>
      <w:marBottom w:val="0"/>
      <w:divBdr>
        <w:top w:val="none" w:sz="0" w:space="0" w:color="auto"/>
        <w:left w:val="none" w:sz="0" w:space="0" w:color="auto"/>
        <w:bottom w:val="none" w:sz="0" w:space="0" w:color="auto"/>
        <w:right w:val="none" w:sz="0" w:space="0" w:color="auto"/>
      </w:divBdr>
      <w:divsChild>
        <w:div w:id="756562903">
          <w:marLeft w:val="0"/>
          <w:marRight w:val="0"/>
          <w:marTop w:val="0"/>
          <w:marBottom w:val="0"/>
          <w:divBdr>
            <w:top w:val="none" w:sz="0" w:space="0" w:color="auto"/>
            <w:left w:val="none" w:sz="0" w:space="0" w:color="auto"/>
            <w:bottom w:val="none" w:sz="0" w:space="0" w:color="auto"/>
            <w:right w:val="none" w:sz="0" w:space="0" w:color="auto"/>
          </w:divBdr>
        </w:div>
      </w:divsChild>
    </w:div>
    <w:div w:id="1330208054">
      <w:bodyDiv w:val="1"/>
      <w:marLeft w:val="0"/>
      <w:marRight w:val="0"/>
      <w:marTop w:val="0"/>
      <w:marBottom w:val="0"/>
      <w:divBdr>
        <w:top w:val="none" w:sz="0" w:space="0" w:color="auto"/>
        <w:left w:val="none" w:sz="0" w:space="0" w:color="auto"/>
        <w:bottom w:val="none" w:sz="0" w:space="0" w:color="auto"/>
        <w:right w:val="none" w:sz="0" w:space="0" w:color="auto"/>
      </w:divBdr>
    </w:div>
    <w:div w:id="1366903834">
      <w:bodyDiv w:val="1"/>
      <w:marLeft w:val="0"/>
      <w:marRight w:val="0"/>
      <w:marTop w:val="0"/>
      <w:marBottom w:val="0"/>
      <w:divBdr>
        <w:top w:val="none" w:sz="0" w:space="0" w:color="auto"/>
        <w:left w:val="none" w:sz="0" w:space="0" w:color="auto"/>
        <w:bottom w:val="none" w:sz="0" w:space="0" w:color="auto"/>
        <w:right w:val="none" w:sz="0" w:space="0" w:color="auto"/>
      </w:divBdr>
    </w:div>
    <w:div w:id="1372265614">
      <w:bodyDiv w:val="1"/>
      <w:marLeft w:val="0"/>
      <w:marRight w:val="0"/>
      <w:marTop w:val="0"/>
      <w:marBottom w:val="0"/>
      <w:divBdr>
        <w:top w:val="none" w:sz="0" w:space="0" w:color="auto"/>
        <w:left w:val="none" w:sz="0" w:space="0" w:color="auto"/>
        <w:bottom w:val="none" w:sz="0" w:space="0" w:color="auto"/>
        <w:right w:val="none" w:sz="0" w:space="0" w:color="auto"/>
      </w:divBdr>
    </w:div>
    <w:div w:id="1415665142">
      <w:bodyDiv w:val="1"/>
      <w:marLeft w:val="0"/>
      <w:marRight w:val="0"/>
      <w:marTop w:val="0"/>
      <w:marBottom w:val="0"/>
      <w:divBdr>
        <w:top w:val="none" w:sz="0" w:space="0" w:color="auto"/>
        <w:left w:val="none" w:sz="0" w:space="0" w:color="auto"/>
        <w:bottom w:val="none" w:sz="0" w:space="0" w:color="auto"/>
        <w:right w:val="none" w:sz="0" w:space="0" w:color="auto"/>
      </w:divBdr>
    </w:div>
    <w:div w:id="1450006617">
      <w:bodyDiv w:val="1"/>
      <w:marLeft w:val="0"/>
      <w:marRight w:val="0"/>
      <w:marTop w:val="0"/>
      <w:marBottom w:val="0"/>
      <w:divBdr>
        <w:top w:val="none" w:sz="0" w:space="0" w:color="auto"/>
        <w:left w:val="none" w:sz="0" w:space="0" w:color="auto"/>
        <w:bottom w:val="none" w:sz="0" w:space="0" w:color="auto"/>
        <w:right w:val="none" w:sz="0" w:space="0" w:color="auto"/>
      </w:divBdr>
    </w:div>
    <w:div w:id="1457329382">
      <w:bodyDiv w:val="1"/>
      <w:marLeft w:val="0"/>
      <w:marRight w:val="0"/>
      <w:marTop w:val="0"/>
      <w:marBottom w:val="0"/>
      <w:divBdr>
        <w:top w:val="none" w:sz="0" w:space="0" w:color="auto"/>
        <w:left w:val="none" w:sz="0" w:space="0" w:color="auto"/>
        <w:bottom w:val="none" w:sz="0" w:space="0" w:color="auto"/>
        <w:right w:val="none" w:sz="0" w:space="0" w:color="auto"/>
      </w:divBdr>
    </w:div>
    <w:div w:id="1473405861">
      <w:bodyDiv w:val="1"/>
      <w:marLeft w:val="0"/>
      <w:marRight w:val="0"/>
      <w:marTop w:val="0"/>
      <w:marBottom w:val="0"/>
      <w:divBdr>
        <w:top w:val="none" w:sz="0" w:space="0" w:color="auto"/>
        <w:left w:val="none" w:sz="0" w:space="0" w:color="auto"/>
        <w:bottom w:val="none" w:sz="0" w:space="0" w:color="auto"/>
        <w:right w:val="none" w:sz="0" w:space="0" w:color="auto"/>
      </w:divBdr>
    </w:div>
    <w:div w:id="1582064128">
      <w:bodyDiv w:val="1"/>
      <w:marLeft w:val="0"/>
      <w:marRight w:val="0"/>
      <w:marTop w:val="0"/>
      <w:marBottom w:val="0"/>
      <w:divBdr>
        <w:top w:val="none" w:sz="0" w:space="0" w:color="auto"/>
        <w:left w:val="none" w:sz="0" w:space="0" w:color="auto"/>
        <w:bottom w:val="none" w:sz="0" w:space="0" w:color="auto"/>
        <w:right w:val="none" w:sz="0" w:space="0" w:color="auto"/>
      </w:divBdr>
    </w:div>
    <w:div w:id="1584870629">
      <w:bodyDiv w:val="1"/>
      <w:marLeft w:val="0"/>
      <w:marRight w:val="0"/>
      <w:marTop w:val="0"/>
      <w:marBottom w:val="0"/>
      <w:divBdr>
        <w:top w:val="none" w:sz="0" w:space="0" w:color="auto"/>
        <w:left w:val="none" w:sz="0" w:space="0" w:color="auto"/>
        <w:bottom w:val="none" w:sz="0" w:space="0" w:color="auto"/>
        <w:right w:val="none" w:sz="0" w:space="0" w:color="auto"/>
      </w:divBdr>
    </w:div>
    <w:div w:id="1598903353">
      <w:bodyDiv w:val="1"/>
      <w:marLeft w:val="0"/>
      <w:marRight w:val="0"/>
      <w:marTop w:val="0"/>
      <w:marBottom w:val="0"/>
      <w:divBdr>
        <w:top w:val="none" w:sz="0" w:space="0" w:color="auto"/>
        <w:left w:val="none" w:sz="0" w:space="0" w:color="auto"/>
        <w:bottom w:val="none" w:sz="0" w:space="0" w:color="auto"/>
        <w:right w:val="none" w:sz="0" w:space="0" w:color="auto"/>
      </w:divBdr>
    </w:div>
    <w:div w:id="1601833470">
      <w:bodyDiv w:val="1"/>
      <w:marLeft w:val="0"/>
      <w:marRight w:val="0"/>
      <w:marTop w:val="0"/>
      <w:marBottom w:val="0"/>
      <w:divBdr>
        <w:top w:val="none" w:sz="0" w:space="0" w:color="auto"/>
        <w:left w:val="none" w:sz="0" w:space="0" w:color="auto"/>
        <w:bottom w:val="none" w:sz="0" w:space="0" w:color="auto"/>
        <w:right w:val="none" w:sz="0" w:space="0" w:color="auto"/>
      </w:divBdr>
    </w:div>
    <w:div w:id="1667636837">
      <w:bodyDiv w:val="1"/>
      <w:marLeft w:val="0"/>
      <w:marRight w:val="0"/>
      <w:marTop w:val="0"/>
      <w:marBottom w:val="0"/>
      <w:divBdr>
        <w:top w:val="none" w:sz="0" w:space="0" w:color="auto"/>
        <w:left w:val="none" w:sz="0" w:space="0" w:color="auto"/>
        <w:bottom w:val="none" w:sz="0" w:space="0" w:color="auto"/>
        <w:right w:val="none" w:sz="0" w:space="0" w:color="auto"/>
      </w:divBdr>
    </w:div>
    <w:div w:id="1674913227">
      <w:bodyDiv w:val="1"/>
      <w:marLeft w:val="0"/>
      <w:marRight w:val="0"/>
      <w:marTop w:val="0"/>
      <w:marBottom w:val="0"/>
      <w:divBdr>
        <w:top w:val="none" w:sz="0" w:space="0" w:color="auto"/>
        <w:left w:val="none" w:sz="0" w:space="0" w:color="auto"/>
        <w:bottom w:val="none" w:sz="0" w:space="0" w:color="auto"/>
        <w:right w:val="none" w:sz="0" w:space="0" w:color="auto"/>
      </w:divBdr>
    </w:div>
    <w:div w:id="1704288422">
      <w:bodyDiv w:val="1"/>
      <w:marLeft w:val="0"/>
      <w:marRight w:val="0"/>
      <w:marTop w:val="0"/>
      <w:marBottom w:val="0"/>
      <w:divBdr>
        <w:top w:val="none" w:sz="0" w:space="0" w:color="auto"/>
        <w:left w:val="none" w:sz="0" w:space="0" w:color="auto"/>
        <w:bottom w:val="none" w:sz="0" w:space="0" w:color="auto"/>
        <w:right w:val="none" w:sz="0" w:space="0" w:color="auto"/>
      </w:divBdr>
    </w:div>
    <w:div w:id="1721321997">
      <w:bodyDiv w:val="1"/>
      <w:marLeft w:val="79"/>
      <w:marRight w:val="0"/>
      <w:marTop w:val="0"/>
      <w:marBottom w:val="0"/>
      <w:divBdr>
        <w:top w:val="none" w:sz="0" w:space="0" w:color="auto"/>
        <w:left w:val="none" w:sz="0" w:space="0" w:color="auto"/>
        <w:bottom w:val="none" w:sz="0" w:space="0" w:color="auto"/>
        <w:right w:val="none" w:sz="0" w:space="0" w:color="auto"/>
      </w:divBdr>
      <w:divsChild>
        <w:div w:id="388917234">
          <w:marLeft w:val="0"/>
          <w:marRight w:val="0"/>
          <w:marTop w:val="0"/>
          <w:marBottom w:val="0"/>
          <w:divBdr>
            <w:top w:val="none" w:sz="0" w:space="0" w:color="auto"/>
            <w:left w:val="none" w:sz="0" w:space="0" w:color="auto"/>
            <w:bottom w:val="none" w:sz="0" w:space="0" w:color="auto"/>
            <w:right w:val="none" w:sz="0" w:space="0" w:color="auto"/>
          </w:divBdr>
          <w:divsChild>
            <w:div w:id="520094951">
              <w:marLeft w:val="0"/>
              <w:marRight w:val="0"/>
              <w:marTop w:val="0"/>
              <w:marBottom w:val="0"/>
              <w:divBdr>
                <w:top w:val="none" w:sz="0" w:space="0" w:color="auto"/>
                <w:left w:val="single" w:sz="48" w:space="0" w:color="7297C8"/>
                <w:bottom w:val="none" w:sz="0" w:space="0" w:color="auto"/>
                <w:right w:val="none" w:sz="0" w:space="0" w:color="auto"/>
              </w:divBdr>
              <w:divsChild>
                <w:div w:id="1747681159">
                  <w:marLeft w:val="0"/>
                  <w:marRight w:val="0"/>
                  <w:marTop w:val="0"/>
                  <w:marBottom w:val="0"/>
                  <w:divBdr>
                    <w:top w:val="none" w:sz="0" w:space="0" w:color="auto"/>
                    <w:left w:val="none" w:sz="0" w:space="0" w:color="auto"/>
                    <w:bottom w:val="none" w:sz="0" w:space="0" w:color="auto"/>
                    <w:right w:val="none" w:sz="0" w:space="0" w:color="auto"/>
                  </w:divBdr>
                  <w:divsChild>
                    <w:div w:id="18058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2099">
      <w:bodyDiv w:val="1"/>
      <w:marLeft w:val="0"/>
      <w:marRight w:val="0"/>
      <w:marTop w:val="0"/>
      <w:marBottom w:val="0"/>
      <w:divBdr>
        <w:top w:val="none" w:sz="0" w:space="0" w:color="auto"/>
        <w:left w:val="none" w:sz="0" w:space="0" w:color="auto"/>
        <w:bottom w:val="none" w:sz="0" w:space="0" w:color="auto"/>
        <w:right w:val="none" w:sz="0" w:space="0" w:color="auto"/>
      </w:divBdr>
    </w:div>
    <w:div w:id="1742752497">
      <w:bodyDiv w:val="1"/>
      <w:marLeft w:val="0"/>
      <w:marRight w:val="0"/>
      <w:marTop w:val="0"/>
      <w:marBottom w:val="0"/>
      <w:divBdr>
        <w:top w:val="none" w:sz="0" w:space="0" w:color="auto"/>
        <w:left w:val="none" w:sz="0" w:space="0" w:color="auto"/>
        <w:bottom w:val="none" w:sz="0" w:space="0" w:color="auto"/>
        <w:right w:val="none" w:sz="0" w:space="0" w:color="auto"/>
      </w:divBdr>
    </w:div>
    <w:div w:id="1771702445">
      <w:bodyDiv w:val="1"/>
      <w:marLeft w:val="0"/>
      <w:marRight w:val="0"/>
      <w:marTop w:val="0"/>
      <w:marBottom w:val="0"/>
      <w:divBdr>
        <w:top w:val="none" w:sz="0" w:space="0" w:color="auto"/>
        <w:left w:val="none" w:sz="0" w:space="0" w:color="auto"/>
        <w:bottom w:val="none" w:sz="0" w:space="0" w:color="auto"/>
        <w:right w:val="none" w:sz="0" w:space="0" w:color="auto"/>
      </w:divBdr>
    </w:div>
    <w:div w:id="1806502230">
      <w:bodyDiv w:val="1"/>
      <w:marLeft w:val="0"/>
      <w:marRight w:val="0"/>
      <w:marTop w:val="0"/>
      <w:marBottom w:val="0"/>
      <w:divBdr>
        <w:top w:val="none" w:sz="0" w:space="0" w:color="auto"/>
        <w:left w:val="none" w:sz="0" w:space="0" w:color="auto"/>
        <w:bottom w:val="none" w:sz="0" w:space="0" w:color="auto"/>
        <w:right w:val="none" w:sz="0" w:space="0" w:color="auto"/>
      </w:divBdr>
    </w:div>
    <w:div w:id="1826241664">
      <w:bodyDiv w:val="1"/>
      <w:marLeft w:val="0"/>
      <w:marRight w:val="0"/>
      <w:marTop w:val="0"/>
      <w:marBottom w:val="0"/>
      <w:divBdr>
        <w:top w:val="none" w:sz="0" w:space="0" w:color="auto"/>
        <w:left w:val="none" w:sz="0" w:space="0" w:color="auto"/>
        <w:bottom w:val="none" w:sz="0" w:space="0" w:color="auto"/>
        <w:right w:val="none" w:sz="0" w:space="0" w:color="auto"/>
      </w:divBdr>
    </w:div>
    <w:div w:id="1828741364">
      <w:bodyDiv w:val="1"/>
      <w:marLeft w:val="0"/>
      <w:marRight w:val="0"/>
      <w:marTop w:val="0"/>
      <w:marBottom w:val="0"/>
      <w:divBdr>
        <w:top w:val="none" w:sz="0" w:space="0" w:color="auto"/>
        <w:left w:val="none" w:sz="0" w:space="0" w:color="auto"/>
        <w:bottom w:val="none" w:sz="0" w:space="0" w:color="auto"/>
        <w:right w:val="none" w:sz="0" w:space="0" w:color="auto"/>
      </w:divBdr>
    </w:div>
    <w:div w:id="1869178461">
      <w:bodyDiv w:val="1"/>
      <w:marLeft w:val="0"/>
      <w:marRight w:val="0"/>
      <w:marTop w:val="0"/>
      <w:marBottom w:val="0"/>
      <w:divBdr>
        <w:top w:val="none" w:sz="0" w:space="0" w:color="auto"/>
        <w:left w:val="none" w:sz="0" w:space="0" w:color="auto"/>
        <w:bottom w:val="none" w:sz="0" w:space="0" w:color="auto"/>
        <w:right w:val="none" w:sz="0" w:space="0" w:color="auto"/>
      </w:divBdr>
    </w:div>
    <w:div w:id="1895191041">
      <w:bodyDiv w:val="1"/>
      <w:marLeft w:val="79"/>
      <w:marRight w:val="0"/>
      <w:marTop w:val="0"/>
      <w:marBottom w:val="0"/>
      <w:divBdr>
        <w:top w:val="none" w:sz="0" w:space="0" w:color="auto"/>
        <w:left w:val="none" w:sz="0" w:space="0" w:color="auto"/>
        <w:bottom w:val="none" w:sz="0" w:space="0" w:color="auto"/>
        <w:right w:val="none" w:sz="0" w:space="0" w:color="auto"/>
      </w:divBdr>
      <w:divsChild>
        <w:div w:id="28840414">
          <w:marLeft w:val="0"/>
          <w:marRight w:val="0"/>
          <w:marTop w:val="0"/>
          <w:marBottom w:val="0"/>
          <w:divBdr>
            <w:top w:val="none" w:sz="0" w:space="0" w:color="auto"/>
            <w:left w:val="none" w:sz="0" w:space="0" w:color="auto"/>
            <w:bottom w:val="none" w:sz="0" w:space="0" w:color="auto"/>
            <w:right w:val="none" w:sz="0" w:space="0" w:color="auto"/>
          </w:divBdr>
          <w:divsChild>
            <w:div w:id="1393114653">
              <w:marLeft w:val="0"/>
              <w:marRight w:val="0"/>
              <w:marTop w:val="0"/>
              <w:marBottom w:val="0"/>
              <w:divBdr>
                <w:top w:val="none" w:sz="0" w:space="0" w:color="auto"/>
                <w:left w:val="single" w:sz="48" w:space="0" w:color="7297C8"/>
                <w:bottom w:val="none" w:sz="0" w:space="0" w:color="auto"/>
                <w:right w:val="none" w:sz="0" w:space="0" w:color="auto"/>
              </w:divBdr>
              <w:divsChild>
                <w:div w:id="978145855">
                  <w:marLeft w:val="0"/>
                  <w:marRight w:val="0"/>
                  <w:marTop w:val="0"/>
                  <w:marBottom w:val="0"/>
                  <w:divBdr>
                    <w:top w:val="none" w:sz="0" w:space="0" w:color="auto"/>
                    <w:left w:val="none" w:sz="0" w:space="0" w:color="auto"/>
                    <w:bottom w:val="none" w:sz="0" w:space="0" w:color="auto"/>
                    <w:right w:val="none" w:sz="0" w:space="0" w:color="auto"/>
                  </w:divBdr>
                  <w:divsChild>
                    <w:div w:id="14492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8960">
      <w:bodyDiv w:val="1"/>
      <w:marLeft w:val="0"/>
      <w:marRight w:val="0"/>
      <w:marTop w:val="0"/>
      <w:marBottom w:val="0"/>
      <w:divBdr>
        <w:top w:val="none" w:sz="0" w:space="0" w:color="auto"/>
        <w:left w:val="none" w:sz="0" w:space="0" w:color="auto"/>
        <w:bottom w:val="none" w:sz="0" w:space="0" w:color="auto"/>
        <w:right w:val="none" w:sz="0" w:space="0" w:color="auto"/>
      </w:divBdr>
    </w:div>
    <w:div w:id="1919749143">
      <w:bodyDiv w:val="1"/>
      <w:marLeft w:val="0"/>
      <w:marRight w:val="0"/>
      <w:marTop w:val="0"/>
      <w:marBottom w:val="0"/>
      <w:divBdr>
        <w:top w:val="none" w:sz="0" w:space="0" w:color="auto"/>
        <w:left w:val="none" w:sz="0" w:space="0" w:color="auto"/>
        <w:bottom w:val="none" w:sz="0" w:space="0" w:color="auto"/>
        <w:right w:val="none" w:sz="0" w:space="0" w:color="auto"/>
      </w:divBdr>
    </w:div>
    <w:div w:id="1943997448">
      <w:bodyDiv w:val="1"/>
      <w:marLeft w:val="0"/>
      <w:marRight w:val="0"/>
      <w:marTop w:val="0"/>
      <w:marBottom w:val="0"/>
      <w:divBdr>
        <w:top w:val="none" w:sz="0" w:space="0" w:color="auto"/>
        <w:left w:val="none" w:sz="0" w:space="0" w:color="auto"/>
        <w:bottom w:val="none" w:sz="0" w:space="0" w:color="auto"/>
        <w:right w:val="none" w:sz="0" w:space="0" w:color="auto"/>
      </w:divBdr>
    </w:div>
    <w:div w:id="2033531547">
      <w:bodyDiv w:val="1"/>
      <w:marLeft w:val="0"/>
      <w:marRight w:val="0"/>
      <w:marTop w:val="0"/>
      <w:marBottom w:val="0"/>
      <w:divBdr>
        <w:top w:val="none" w:sz="0" w:space="0" w:color="auto"/>
        <w:left w:val="none" w:sz="0" w:space="0" w:color="auto"/>
        <w:bottom w:val="none" w:sz="0" w:space="0" w:color="auto"/>
        <w:right w:val="none" w:sz="0" w:space="0" w:color="auto"/>
      </w:divBdr>
    </w:div>
    <w:div w:id="2041785122">
      <w:bodyDiv w:val="1"/>
      <w:marLeft w:val="0"/>
      <w:marRight w:val="0"/>
      <w:marTop w:val="0"/>
      <w:marBottom w:val="0"/>
      <w:divBdr>
        <w:top w:val="none" w:sz="0" w:space="0" w:color="auto"/>
        <w:left w:val="none" w:sz="0" w:space="0" w:color="auto"/>
        <w:bottom w:val="none" w:sz="0" w:space="0" w:color="auto"/>
        <w:right w:val="none" w:sz="0" w:space="0" w:color="auto"/>
      </w:divBdr>
    </w:div>
    <w:div w:id="2065521549">
      <w:bodyDiv w:val="1"/>
      <w:marLeft w:val="0"/>
      <w:marRight w:val="0"/>
      <w:marTop w:val="0"/>
      <w:marBottom w:val="0"/>
      <w:divBdr>
        <w:top w:val="none" w:sz="0" w:space="0" w:color="auto"/>
        <w:left w:val="none" w:sz="0" w:space="0" w:color="auto"/>
        <w:bottom w:val="none" w:sz="0" w:space="0" w:color="auto"/>
        <w:right w:val="none" w:sz="0" w:space="0" w:color="auto"/>
      </w:divBdr>
    </w:div>
    <w:div w:id="21060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ssoud.cz/main2col.aspx?cls=sbirka&amp;sbz_id=156&amp;menu=266" TargetMode="External"/><Relationship Id="rId18" Type="http://schemas.openxmlformats.org/officeDocument/2006/relationships/hyperlink" Target="http://www.nssoud.cz/main2col.aspx?cls=sbirka&amp;sbz_id=152&amp;menu=266" TargetMode="External"/><Relationship Id="rId26" Type="http://schemas.openxmlformats.org/officeDocument/2006/relationships/hyperlink" Target="http://www.nssoud.cz/?cls=sbirkaRozhodnuti&amp;ID=69" TargetMode="External"/><Relationship Id="rId39" Type="http://schemas.openxmlformats.org/officeDocument/2006/relationships/hyperlink" Target="http://www.nssoud.cz/?cls=sbirkaRozhodnuti&amp;ID=-49" TargetMode="External"/><Relationship Id="rId21" Type="http://schemas.openxmlformats.org/officeDocument/2006/relationships/hyperlink" Target="http://www.nssoud.cz/?cls=sbirkaRozhodnuti&amp;ID=79" TargetMode="External"/><Relationship Id="rId34" Type="http://schemas.openxmlformats.org/officeDocument/2006/relationships/hyperlink" Target="http://www.nssoud.cz/?cls=sbirkaRozhodnuti&amp;ID=-52" TargetMode="External"/><Relationship Id="rId42" Type="http://schemas.openxmlformats.org/officeDocument/2006/relationships/hyperlink" Target="http://www.nssoud.cz/?cls=sbirkaRozhodnuti&amp;ID=-48" TargetMode="External"/><Relationship Id="rId47" Type="http://schemas.openxmlformats.org/officeDocument/2006/relationships/hyperlink" Target="http://www.nssoud.cz/?cls=sbirkaRozhodnuti&amp;ID=-34" TargetMode="External"/><Relationship Id="rId50" Type="http://schemas.openxmlformats.org/officeDocument/2006/relationships/hyperlink" Target="http://www.nssoud.cz/?cls=sbirkaRozhodnuti&amp;ID=-29" TargetMode="External"/><Relationship Id="rId55" Type="http://schemas.openxmlformats.org/officeDocument/2006/relationships/hyperlink" Target="http://www.nssoud.cz/?cls=sbirkaRozhodnuti&amp;ID=-22" TargetMode="External"/><Relationship Id="rId63" Type="http://schemas.openxmlformats.org/officeDocument/2006/relationships/hyperlink" Target="http://www.nssoud.cz/?cls=sbirkaRozhodnuti&amp;ID=-3" TargetMode="External"/><Relationship Id="rId7" Type="http://schemas.openxmlformats.org/officeDocument/2006/relationships/hyperlink" Target="http://www.nssoud.cz/main2col.aspx?cls=sbirka&amp;sbz_id=167&amp;menu=266" TargetMode="External"/><Relationship Id="rId2" Type="http://schemas.openxmlformats.org/officeDocument/2006/relationships/settings" Target="settings.xml"/><Relationship Id="rId16" Type="http://schemas.openxmlformats.org/officeDocument/2006/relationships/hyperlink" Target="http://www.nssoud.cz/main2col.aspx?cls=sbirka&amp;sbz_id=152&amp;menu=266" TargetMode="External"/><Relationship Id="rId29" Type="http://schemas.openxmlformats.org/officeDocument/2006/relationships/hyperlink" Target="http://www.nssoud.cz/?cls=sbirkaRozhodnuti&amp;ID=-60" TargetMode="External"/><Relationship Id="rId1" Type="http://schemas.openxmlformats.org/officeDocument/2006/relationships/styles" Target="styles.xml"/><Relationship Id="rId6" Type="http://schemas.openxmlformats.org/officeDocument/2006/relationships/hyperlink" Target="http://www.nssoud.cz/main2col.aspx?cls=sbirka&amp;sbz_id=172&amp;menu=266" TargetMode="External"/><Relationship Id="rId11" Type="http://schemas.openxmlformats.org/officeDocument/2006/relationships/hyperlink" Target="http://www.nssoud.cz/main2col.aspx?cls=sbirka&amp;sbz_id=161&amp;menu=266" TargetMode="External"/><Relationship Id="rId24" Type="http://schemas.openxmlformats.org/officeDocument/2006/relationships/hyperlink" Target="http://www.nssoud.cz/?cls=sbirkaRozhodnuti&amp;ID=74" TargetMode="External"/><Relationship Id="rId32" Type="http://schemas.openxmlformats.org/officeDocument/2006/relationships/hyperlink" Target="http://www.nssoud.cz/?cls=sbirkaRozhodnuti&amp;ID=-55" TargetMode="External"/><Relationship Id="rId37" Type="http://schemas.openxmlformats.org/officeDocument/2006/relationships/hyperlink" Target="http://www.nssoud.cz/?cls=sbirkaRozhodnuti&amp;ID=-50" TargetMode="External"/><Relationship Id="rId40" Type="http://schemas.openxmlformats.org/officeDocument/2006/relationships/hyperlink" Target="http://www.nssoud.cz/?cls=sbirkaRozhodnuti&amp;ID=-48" TargetMode="External"/><Relationship Id="rId45" Type="http://schemas.openxmlformats.org/officeDocument/2006/relationships/hyperlink" Target="http://www.nssoud.cz/?cls=sbirkaRozhodnuti&amp;ID=-45" TargetMode="External"/><Relationship Id="rId53" Type="http://schemas.openxmlformats.org/officeDocument/2006/relationships/hyperlink" Target="http://www.nssoud.cz/?cls=sbirkaRozhodnuti&amp;ID=-26" TargetMode="External"/><Relationship Id="rId58" Type="http://schemas.openxmlformats.org/officeDocument/2006/relationships/hyperlink" Target="http://www.nssoud.cz/?cls=sbirkaRozhodnuti&amp;ID=-7" TargetMode="External"/><Relationship Id="rId66" Type="http://schemas.openxmlformats.org/officeDocument/2006/relationships/fontTable" Target="fontTable.xml"/><Relationship Id="rId5" Type="http://schemas.openxmlformats.org/officeDocument/2006/relationships/hyperlink" Target="http://www.nssoud.cz/main2col.aspx?cls=sbirka&amp;sbz_id=171&amp;menu=266" TargetMode="External"/><Relationship Id="rId15" Type="http://schemas.openxmlformats.org/officeDocument/2006/relationships/hyperlink" Target="http://www.nssoud.cz/main2col.aspx?cls=sbirka&amp;sbz_id=154&amp;menu=266" TargetMode="External"/><Relationship Id="rId23" Type="http://schemas.openxmlformats.org/officeDocument/2006/relationships/hyperlink" Target="http://www.nssoud.cz/?cls=sbirkaRozhodnuti&amp;ID=77" TargetMode="External"/><Relationship Id="rId28" Type="http://schemas.openxmlformats.org/officeDocument/2006/relationships/hyperlink" Target="http://www.nssoud.cz/?cls=sbirkaRozhodnuti&amp;ID=59" TargetMode="External"/><Relationship Id="rId36" Type="http://schemas.openxmlformats.org/officeDocument/2006/relationships/hyperlink" Target="http://www.nssoud.cz/?cls=sbirkaRozhodnuti&amp;ID=-51" TargetMode="External"/><Relationship Id="rId49" Type="http://schemas.openxmlformats.org/officeDocument/2006/relationships/hyperlink" Target="http://www.nssoud.cz/?cls=sbirkaRozhodnuti&amp;ID=-30" TargetMode="External"/><Relationship Id="rId57" Type="http://schemas.openxmlformats.org/officeDocument/2006/relationships/hyperlink" Target="http://www.nssoud.cz/?cls=sbirkaRozhodnuti&amp;ID=-15" TargetMode="External"/><Relationship Id="rId61" Type="http://schemas.openxmlformats.org/officeDocument/2006/relationships/hyperlink" Target="http://www.nssoud.cz/?cls=sbirkaRozhodnuti&amp;ID=-6" TargetMode="External"/><Relationship Id="rId10" Type="http://schemas.openxmlformats.org/officeDocument/2006/relationships/hyperlink" Target="http://www.nssoud.cz/main2col.aspx?cls=sbirka&amp;sbz_id=165&amp;menu=266" TargetMode="External"/><Relationship Id="rId19" Type="http://schemas.openxmlformats.org/officeDocument/2006/relationships/hyperlink" Target="http://www.nssoud.cz/main2col.aspx?cls=sbirka&amp;sbz_id=149&amp;menu=266" TargetMode="External"/><Relationship Id="rId31" Type="http://schemas.openxmlformats.org/officeDocument/2006/relationships/hyperlink" Target="http://www.nssoud.cz/?cls=sbirkaRozhodnuti&amp;ID=-56" TargetMode="External"/><Relationship Id="rId44" Type="http://schemas.openxmlformats.org/officeDocument/2006/relationships/hyperlink" Target="http://www.nssoud.cz/?cls=sbirkaRozhodnuti&amp;ID=-47" TargetMode="External"/><Relationship Id="rId52" Type="http://schemas.openxmlformats.org/officeDocument/2006/relationships/hyperlink" Target="http://www.nssoud.cz/?cls=sbirkaRozhodnuti&amp;ID=-27" TargetMode="External"/><Relationship Id="rId60" Type="http://schemas.openxmlformats.org/officeDocument/2006/relationships/hyperlink" Target="http://www.nssoud.cz/?cls=sbirkaRozhodnuti&amp;ID=-6" TargetMode="External"/><Relationship Id="rId65" Type="http://schemas.openxmlformats.org/officeDocument/2006/relationships/hyperlink" Target="http://www.nssoud.cz/?cls=sbirkaRozhodnuti&amp;ID=-1" TargetMode="External"/><Relationship Id="rId4" Type="http://schemas.openxmlformats.org/officeDocument/2006/relationships/hyperlink" Target="http://www.nssoud.cz/main2col.aspx?cls=sbirka&amp;sbz_id=172&amp;menu=266" TargetMode="External"/><Relationship Id="rId9" Type="http://schemas.openxmlformats.org/officeDocument/2006/relationships/hyperlink" Target="http://www.nssoud.cz/main2col.aspx?cls=sbirka&amp;sbz_id=166&amp;menu=266" TargetMode="External"/><Relationship Id="rId14" Type="http://schemas.openxmlformats.org/officeDocument/2006/relationships/hyperlink" Target="http://www.nssoud.cz/main2col.aspx?cls=sbirka&amp;sbz_id=155&amp;menu=266" TargetMode="External"/><Relationship Id="rId22" Type="http://schemas.openxmlformats.org/officeDocument/2006/relationships/hyperlink" Target="http://www.nssoud.cz/?cls=sbirkaRozhodnuti&amp;ID=77" TargetMode="External"/><Relationship Id="rId27" Type="http://schemas.openxmlformats.org/officeDocument/2006/relationships/hyperlink" Target="http://www.nssoud.cz/?cls=sbirkaRozhodnuti&amp;ID=66" TargetMode="External"/><Relationship Id="rId30" Type="http://schemas.openxmlformats.org/officeDocument/2006/relationships/hyperlink" Target="http://www.nssoud.cz/?cls=sbirkaRozhodnuti&amp;ID=-58" TargetMode="External"/><Relationship Id="rId35" Type="http://schemas.openxmlformats.org/officeDocument/2006/relationships/hyperlink" Target="http://www.nssoud.cz/?cls=sbirkaRozhodnuti&amp;ID=-51" TargetMode="External"/><Relationship Id="rId43" Type="http://schemas.openxmlformats.org/officeDocument/2006/relationships/hyperlink" Target="http://www.nssoud.cz/?cls=sbirkaRozhodnuti&amp;ID=-48" TargetMode="External"/><Relationship Id="rId48" Type="http://schemas.openxmlformats.org/officeDocument/2006/relationships/hyperlink" Target="http://www.nssoud.cz/?cls=sbirkaRozhodnuti&amp;ID=-34" TargetMode="External"/><Relationship Id="rId56" Type="http://schemas.openxmlformats.org/officeDocument/2006/relationships/hyperlink" Target="http://www.nssoud.cz/?cls=sbirkaRozhodnuti&amp;ID=-18" TargetMode="External"/><Relationship Id="rId64" Type="http://schemas.openxmlformats.org/officeDocument/2006/relationships/hyperlink" Target="http://www.nssoud.cz/?cls=sbirkaRozhodnuti&amp;ID=-2" TargetMode="External"/><Relationship Id="rId8" Type="http://schemas.openxmlformats.org/officeDocument/2006/relationships/hyperlink" Target="http://www.nssoud.cz/main2col.aspx?cls=sbirka&amp;sbz_id=167&amp;menu=266" TargetMode="External"/><Relationship Id="rId51" Type="http://schemas.openxmlformats.org/officeDocument/2006/relationships/hyperlink" Target="http://www.nssoud.cz/?cls=sbirkaRozhodnuti&amp;ID=-27" TargetMode="External"/><Relationship Id="rId3" Type="http://schemas.openxmlformats.org/officeDocument/2006/relationships/webSettings" Target="webSettings.xml"/><Relationship Id="rId12" Type="http://schemas.openxmlformats.org/officeDocument/2006/relationships/hyperlink" Target="http://www.nssoud.cz/main2col.aspx?cls=sbirka&amp;sbz_id=158&amp;menu=266" TargetMode="External"/><Relationship Id="rId17" Type="http://schemas.openxmlformats.org/officeDocument/2006/relationships/hyperlink" Target="http://www.nssoud.cz/main2col.aspx?cls=sbirka&amp;sbz_id=152&amp;menu=266" TargetMode="External"/><Relationship Id="rId25" Type="http://schemas.openxmlformats.org/officeDocument/2006/relationships/hyperlink" Target="http://www.nssoud.cz/?cls=sbirkaRozhodnuti&amp;ID=69" TargetMode="External"/><Relationship Id="rId33" Type="http://schemas.openxmlformats.org/officeDocument/2006/relationships/hyperlink" Target="http://www.nssoud.cz/?cls=sbirkaRozhodnuti&amp;ID=-54" TargetMode="External"/><Relationship Id="rId38" Type="http://schemas.openxmlformats.org/officeDocument/2006/relationships/hyperlink" Target="http://www.nssoud.cz/?cls=sbirkaRozhodnuti&amp;ID=-50" TargetMode="External"/><Relationship Id="rId46" Type="http://schemas.openxmlformats.org/officeDocument/2006/relationships/hyperlink" Target="http://www.nssoud.cz/?cls=sbirkaRozhodnuti&amp;ID=-43" TargetMode="External"/><Relationship Id="rId59" Type="http://schemas.openxmlformats.org/officeDocument/2006/relationships/hyperlink" Target="http://www.nssoud.cz/?cls=sbirkaRozhodnuti&amp;ID=-6" TargetMode="External"/><Relationship Id="rId67" Type="http://schemas.openxmlformats.org/officeDocument/2006/relationships/theme" Target="theme/theme1.xml"/><Relationship Id="rId20" Type="http://schemas.openxmlformats.org/officeDocument/2006/relationships/hyperlink" Target="http://www.nssoud.cz/main2col.aspx?cls=sbirka&amp;sbz_id=148&amp;menu=266" TargetMode="External"/><Relationship Id="rId41" Type="http://schemas.openxmlformats.org/officeDocument/2006/relationships/hyperlink" Target="http://www.nssoud.cz/?cls=sbirkaRozhodnuti&amp;ID=-48" TargetMode="External"/><Relationship Id="rId54" Type="http://schemas.openxmlformats.org/officeDocument/2006/relationships/hyperlink" Target="http://www.nssoud.cz/?cls=sbirkaRozhodnuti&amp;ID=-25" TargetMode="External"/><Relationship Id="rId62" Type="http://schemas.openxmlformats.org/officeDocument/2006/relationships/hyperlink" Target="http://www.nssoud.cz/?cls=sbirkaRozhodnuti&amp;ID=-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18</Pages>
  <Words>8430</Words>
  <Characters>49737</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Vladimír</dc:creator>
  <cp:keywords/>
  <dc:description/>
  <cp:lastModifiedBy>400</cp:lastModifiedBy>
  <cp:revision>19</cp:revision>
  <dcterms:created xsi:type="dcterms:W3CDTF">2010-11-24T08:07:00Z</dcterms:created>
  <dcterms:modified xsi:type="dcterms:W3CDTF">2013-03-13T12:24:00Z</dcterms:modified>
</cp:coreProperties>
</file>